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7E" w:rsidRPr="0037047E" w:rsidRDefault="0037047E" w:rsidP="0030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47E">
        <w:rPr>
          <w:rFonts w:ascii="Times New Roman" w:hAnsi="Times New Roman" w:cs="Times New Roman"/>
          <w:b/>
          <w:sz w:val="24"/>
          <w:szCs w:val="24"/>
        </w:rPr>
        <w:t>ТЕОРЕТИЧЕСКИЕ ИССЛЕДОВАНИЯ ПЕРЕНОСА СОЛНЕЧНОГО ИЗЛУЧЕНИЯ В ЗЕМНОЙ АТМОСФЕРЕ С ЦЕЛЬЮ АНАЛИЗА ДАННЫХ СЕТИ AERONET</w:t>
      </w:r>
    </w:p>
    <w:p w:rsidR="0037047E" w:rsidRPr="00F75096" w:rsidRDefault="00DE77E1" w:rsidP="00F75096">
      <w:pPr>
        <w:ind w:left="709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75096">
        <w:rPr>
          <w:rFonts w:ascii="Times New Roman" w:hAnsi="Times New Roman" w:cs="Times New Roman"/>
          <w:b/>
          <w:i/>
          <w:sz w:val="20"/>
          <w:szCs w:val="20"/>
        </w:rPr>
        <w:t>Ф.А. Сперанский; рук. Л.И. Чайковская</w:t>
      </w:r>
      <w:r w:rsidR="00990264" w:rsidRPr="00F75096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F7509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90264" w:rsidRPr="00F75096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990264" w:rsidRPr="00F75096">
        <w:rPr>
          <w:rFonts w:ascii="Times New Roman" w:hAnsi="Times New Roman" w:cs="Times New Roman"/>
          <w:b/>
          <w:i/>
          <w:sz w:val="20"/>
          <w:szCs w:val="20"/>
        </w:rPr>
        <w:t xml:space="preserve">т. н. </w:t>
      </w:r>
      <w:proofErr w:type="spellStart"/>
      <w:r w:rsidR="00990264" w:rsidRPr="00F75096">
        <w:rPr>
          <w:rFonts w:ascii="Times New Roman" w:hAnsi="Times New Roman" w:cs="Times New Roman"/>
          <w:b/>
          <w:i/>
          <w:sz w:val="20"/>
          <w:szCs w:val="20"/>
        </w:rPr>
        <w:t>сотр</w:t>
      </w:r>
      <w:proofErr w:type="spellEnd"/>
      <w:r w:rsidR="00990264" w:rsidRPr="00F75096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F75096" w:rsidRPr="00F7509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75096" w:rsidRPr="00F75096">
        <w:rPr>
          <w:rFonts w:ascii="Times New Roman" w:hAnsi="Times New Roman" w:cs="Times New Roman"/>
          <w:b/>
          <w:i/>
          <w:sz w:val="20"/>
          <w:szCs w:val="20"/>
        </w:rPr>
        <w:t>лаборатории</w:t>
      </w:r>
      <w:r w:rsidR="00F75096" w:rsidRPr="00F75096">
        <w:rPr>
          <w:rFonts w:ascii="Times New Roman" w:hAnsi="Times New Roman" w:cs="Times New Roman"/>
          <w:b/>
          <w:i/>
          <w:sz w:val="20"/>
          <w:szCs w:val="20"/>
        </w:rPr>
        <w:t xml:space="preserve"> оптики рассеивающих сред Института физики НАН Беларуси,</w:t>
      </w:r>
      <w:r w:rsidR="00990264" w:rsidRPr="00F75096">
        <w:rPr>
          <w:rFonts w:ascii="Times New Roman" w:hAnsi="Times New Roman" w:cs="Times New Roman"/>
          <w:b/>
          <w:i/>
          <w:sz w:val="20"/>
          <w:szCs w:val="20"/>
        </w:rPr>
        <w:t xml:space="preserve"> канд.</w:t>
      </w:r>
      <w:r w:rsidR="00990264" w:rsidRPr="00F7509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90264" w:rsidRPr="00F75096">
        <w:rPr>
          <w:rFonts w:ascii="Times New Roman" w:hAnsi="Times New Roman" w:cs="Times New Roman"/>
          <w:b/>
          <w:i/>
          <w:sz w:val="20"/>
          <w:szCs w:val="20"/>
        </w:rPr>
        <w:t>физ.-мат. наук</w:t>
      </w:r>
      <w:r w:rsidR="00990264" w:rsidRPr="00F7509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90264" w:rsidRPr="00F75096">
        <w:rPr>
          <w:rFonts w:ascii="Times New Roman" w:hAnsi="Times New Roman" w:cs="Times New Roman"/>
          <w:b/>
          <w:i/>
          <w:sz w:val="20"/>
          <w:szCs w:val="20"/>
        </w:rPr>
        <w:t>Чайковская Людмила Ивановна</w:t>
      </w:r>
      <w:r w:rsidRPr="00F75096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F75096" w:rsidRPr="00F75096">
        <w:rPr>
          <w:rFonts w:ascii="Times New Roman" w:hAnsi="Times New Roman" w:cs="Times New Roman"/>
          <w:b/>
          <w:i/>
          <w:sz w:val="20"/>
          <w:szCs w:val="20"/>
        </w:rPr>
        <w:t xml:space="preserve">БГУ, </w:t>
      </w:r>
      <w:proofErr w:type="spellStart"/>
      <w:r w:rsidR="00F75096" w:rsidRPr="00F75096">
        <w:rPr>
          <w:rFonts w:ascii="Times New Roman" w:hAnsi="Times New Roman" w:cs="Times New Roman"/>
          <w:b/>
          <w:i/>
          <w:sz w:val="20"/>
          <w:szCs w:val="20"/>
        </w:rPr>
        <w:t>г</w:t>
      </w:r>
      <w:proofErr w:type="gramStart"/>
      <w:r w:rsidR="00F75096" w:rsidRPr="00F75096">
        <w:rPr>
          <w:rFonts w:ascii="Times New Roman" w:hAnsi="Times New Roman" w:cs="Times New Roman"/>
          <w:b/>
          <w:i/>
          <w:sz w:val="20"/>
          <w:szCs w:val="20"/>
        </w:rPr>
        <w:t>.М</w:t>
      </w:r>
      <w:proofErr w:type="gramEnd"/>
      <w:r w:rsidR="00F75096" w:rsidRPr="00F75096">
        <w:rPr>
          <w:rFonts w:ascii="Times New Roman" w:hAnsi="Times New Roman" w:cs="Times New Roman"/>
          <w:b/>
          <w:i/>
          <w:sz w:val="20"/>
          <w:szCs w:val="20"/>
        </w:rPr>
        <w:t>инск</w:t>
      </w:r>
      <w:proofErr w:type="spellEnd"/>
      <w:r w:rsidRPr="00F7509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936284" w:rsidRPr="0037047E" w:rsidRDefault="00936284" w:rsidP="0037047E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7047E">
        <w:rPr>
          <w:rFonts w:ascii="Times New Roman" w:hAnsi="Times New Roman" w:cs="Times New Roman"/>
          <w:sz w:val="20"/>
          <w:szCs w:val="20"/>
        </w:rPr>
        <w:t>Проведение атмосферных оптических исследований является важной задачей современной физики. Мониторинг  окружающей среды позволяет предсказывать её поведение в будущем, а именно: климатические изменения, последствия извержений ву</w:t>
      </w:r>
      <w:r w:rsidR="00F75096">
        <w:rPr>
          <w:rFonts w:ascii="Times New Roman" w:hAnsi="Times New Roman" w:cs="Times New Roman"/>
          <w:sz w:val="20"/>
          <w:szCs w:val="20"/>
        </w:rPr>
        <w:t>лканов, взаимодействие человека</w:t>
      </w:r>
      <w:r w:rsidRPr="0037047E">
        <w:rPr>
          <w:rFonts w:ascii="Times New Roman" w:hAnsi="Times New Roman" w:cs="Times New Roman"/>
          <w:sz w:val="20"/>
          <w:szCs w:val="20"/>
        </w:rPr>
        <w:t xml:space="preserve"> и окружающей среды. В этом смысле умение моделировать естественные природные процессы и иметь стандартизированные средства наблюдения за ними можно назвать приоритетными задачами в сохранении благоприятной земной экологии.</w:t>
      </w:r>
    </w:p>
    <w:p w:rsidR="00936284" w:rsidRPr="0037047E" w:rsidRDefault="00936284" w:rsidP="00902655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7047E">
        <w:rPr>
          <w:rFonts w:ascii="Times New Roman" w:hAnsi="Times New Roman" w:cs="Times New Roman"/>
          <w:sz w:val="20"/>
          <w:szCs w:val="20"/>
        </w:rPr>
        <w:t xml:space="preserve">Проект сети </w:t>
      </w:r>
      <w:r w:rsidRPr="0037047E">
        <w:rPr>
          <w:rFonts w:ascii="Times New Roman" w:hAnsi="Times New Roman" w:cs="Times New Roman"/>
          <w:sz w:val="20"/>
          <w:szCs w:val="20"/>
          <w:lang w:val="en-US"/>
        </w:rPr>
        <w:t>AERONET</w:t>
      </w:r>
      <w:r w:rsidRPr="0037047E">
        <w:rPr>
          <w:rFonts w:ascii="Times New Roman" w:hAnsi="Times New Roman" w:cs="Times New Roman"/>
          <w:sz w:val="20"/>
          <w:szCs w:val="20"/>
        </w:rPr>
        <w:t xml:space="preserve"> является одним из наиболее масштабных и детально выверенных экспериментов. Сеть включает в себя наземные станции, снабжённые солнечным радиометром </w:t>
      </w:r>
      <w:proofErr w:type="spellStart"/>
      <w:r w:rsidRPr="0037047E">
        <w:rPr>
          <w:rFonts w:ascii="Times New Roman" w:hAnsi="Times New Roman" w:cs="Times New Roman"/>
          <w:sz w:val="20"/>
          <w:szCs w:val="20"/>
          <w:lang w:val="en-US"/>
        </w:rPr>
        <w:t>Cimel</w:t>
      </w:r>
      <w:proofErr w:type="spellEnd"/>
      <w:r w:rsidRPr="0037047E">
        <w:rPr>
          <w:rFonts w:ascii="Times New Roman" w:hAnsi="Times New Roman" w:cs="Times New Roman"/>
          <w:sz w:val="20"/>
          <w:szCs w:val="20"/>
        </w:rPr>
        <w:t xml:space="preserve">, результаты радиометрических измерений которых для анализа объединяются со спутниковыми и самолётными данными. </w:t>
      </w:r>
      <w:proofErr w:type="gramStart"/>
      <w:r w:rsidRPr="0037047E">
        <w:rPr>
          <w:rFonts w:ascii="Times New Roman" w:hAnsi="Times New Roman" w:cs="Times New Roman"/>
          <w:sz w:val="20"/>
          <w:szCs w:val="20"/>
          <w:lang w:val="en-US"/>
        </w:rPr>
        <w:t>AERONET</w:t>
      </w:r>
      <w:r w:rsidRPr="0037047E">
        <w:rPr>
          <w:rFonts w:ascii="Times New Roman" w:hAnsi="Times New Roman" w:cs="Times New Roman"/>
          <w:sz w:val="20"/>
          <w:szCs w:val="20"/>
        </w:rPr>
        <w:t xml:space="preserve"> </w:t>
      </w:r>
      <w:r w:rsidR="00902655">
        <w:rPr>
          <w:rFonts w:ascii="Times New Roman" w:hAnsi="Times New Roman" w:cs="Times New Roman"/>
          <w:sz w:val="20"/>
          <w:szCs w:val="20"/>
        </w:rPr>
        <w:t xml:space="preserve">использует свои алгоритмы для решения обратных задач на основе </w:t>
      </w:r>
      <w:r w:rsidRPr="0037047E">
        <w:rPr>
          <w:rFonts w:ascii="Times New Roman" w:hAnsi="Times New Roman" w:cs="Times New Roman"/>
          <w:sz w:val="20"/>
          <w:szCs w:val="20"/>
        </w:rPr>
        <w:t>полученных данных и восстановлени</w:t>
      </w:r>
      <w:r w:rsidR="00902655">
        <w:rPr>
          <w:rFonts w:ascii="Times New Roman" w:hAnsi="Times New Roman" w:cs="Times New Roman"/>
          <w:sz w:val="20"/>
          <w:szCs w:val="20"/>
        </w:rPr>
        <w:t>я</w:t>
      </w:r>
      <w:r w:rsidRPr="0037047E">
        <w:rPr>
          <w:rFonts w:ascii="Times New Roman" w:hAnsi="Times New Roman" w:cs="Times New Roman"/>
          <w:sz w:val="20"/>
          <w:szCs w:val="20"/>
        </w:rPr>
        <w:t xml:space="preserve"> характеристик атмосферы</w:t>
      </w:r>
      <w:r w:rsidR="0090265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36284" w:rsidRPr="0037047E" w:rsidRDefault="00936284" w:rsidP="0090265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7047E">
        <w:rPr>
          <w:rFonts w:ascii="Times New Roman" w:hAnsi="Times New Roman" w:cs="Times New Roman"/>
          <w:sz w:val="20"/>
          <w:szCs w:val="20"/>
        </w:rPr>
        <w:t>Методами исследования являются</w:t>
      </w:r>
      <w:r w:rsidR="00F75096">
        <w:rPr>
          <w:rFonts w:ascii="Times New Roman" w:hAnsi="Times New Roman" w:cs="Times New Roman"/>
          <w:sz w:val="20"/>
          <w:szCs w:val="20"/>
        </w:rPr>
        <w:t>:</w:t>
      </w:r>
      <w:r w:rsidRPr="0037047E">
        <w:rPr>
          <w:rFonts w:ascii="Times New Roman" w:hAnsi="Times New Roman" w:cs="Times New Roman"/>
          <w:sz w:val="20"/>
          <w:szCs w:val="20"/>
        </w:rPr>
        <w:t xml:space="preserve"> </w:t>
      </w:r>
      <w:r w:rsidR="00F75096">
        <w:rPr>
          <w:rFonts w:ascii="Times New Roman" w:hAnsi="Times New Roman" w:cs="Times New Roman"/>
          <w:sz w:val="20"/>
          <w:szCs w:val="20"/>
        </w:rPr>
        <w:t>м</w:t>
      </w:r>
      <w:r w:rsidRPr="0037047E">
        <w:rPr>
          <w:rFonts w:ascii="Times New Roman" w:hAnsi="Times New Roman" w:cs="Times New Roman"/>
          <w:sz w:val="20"/>
          <w:szCs w:val="20"/>
        </w:rPr>
        <w:t xml:space="preserve">етод квадратур Гаусса, метод разложения по собственным функциям группы вращения, </w:t>
      </w:r>
      <w:proofErr w:type="spellStart"/>
      <w:r w:rsidRPr="0037047E">
        <w:rPr>
          <w:rFonts w:ascii="Times New Roman" w:hAnsi="Times New Roman" w:cs="Times New Roman"/>
          <w:sz w:val="20"/>
          <w:szCs w:val="20"/>
        </w:rPr>
        <w:t>малоугловой</w:t>
      </w:r>
      <w:proofErr w:type="spellEnd"/>
      <w:r w:rsidRPr="0037047E">
        <w:rPr>
          <w:rFonts w:ascii="Times New Roman" w:hAnsi="Times New Roman" w:cs="Times New Roman"/>
          <w:sz w:val="20"/>
          <w:szCs w:val="20"/>
        </w:rPr>
        <w:t xml:space="preserve"> метод решения уравнения переноса, численное моделирование на базе математических пакетов.</w:t>
      </w:r>
    </w:p>
    <w:p w:rsidR="00936284" w:rsidRPr="0037047E" w:rsidRDefault="00936284" w:rsidP="0037047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7047E">
        <w:rPr>
          <w:rFonts w:ascii="Times New Roman" w:hAnsi="Times New Roman" w:cs="Times New Roman"/>
          <w:sz w:val="20"/>
          <w:szCs w:val="20"/>
        </w:rPr>
        <w:t xml:space="preserve">Для поиска решений </w:t>
      </w:r>
      <w:r w:rsidR="00F75096" w:rsidRPr="0037047E">
        <w:rPr>
          <w:rFonts w:ascii="Times New Roman" w:hAnsi="Times New Roman" w:cs="Times New Roman"/>
          <w:sz w:val="20"/>
          <w:szCs w:val="20"/>
        </w:rPr>
        <w:t>уравнения переноса излучения</w:t>
      </w:r>
      <w:r w:rsidRPr="0037047E">
        <w:rPr>
          <w:rFonts w:ascii="Times New Roman" w:hAnsi="Times New Roman" w:cs="Times New Roman"/>
          <w:sz w:val="20"/>
          <w:szCs w:val="20"/>
        </w:rPr>
        <w:t xml:space="preserve"> существует целый ряд численных и аналитических методов [1]. Наибольшее распространение имеют численные методы, из которых чаще всего в теории переноса в атмосферах планет используются: метод </w:t>
      </w:r>
      <w:r w:rsidRPr="0037047E">
        <w:rPr>
          <w:rFonts w:ascii="Times New Roman" w:hAnsi="Times New Roman" w:cs="Times New Roman"/>
          <w:sz w:val="20"/>
          <w:szCs w:val="20"/>
        </w:rPr>
        <w:lastRenderedPageBreak/>
        <w:t>последовательных приближений, метод Монте-Карло, метод удвоения-сложения и метод сферических гармоник [2-</w:t>
      </w:r>
      <w:r w:rsidR="00301B0D">
        <w:rPr>
          <w:rFonts w:ascii="Times New Roman" w:hAnsi="Times New Roman" w:cs="Times New Roman"/>
          <w:sz w:val="20"/>
          <w:szCs w:val="20"/>
        </w:rPr>
        <w:t>4</w:t>
      </w:r>
      <w:r w:rsidRPr="0037047E">
        <w:rPr>
          <w:rFonts w:ascii="Times New Roman" w:hAnsi="Times New Roman" w:cs="Times New Roman"/>
          <w:sz w:val="20"/>
          <w:szCs w:val="20"/>
        </w:rPr>
        <w:t>].</w:t>
      </w:r>
    </w:p>
    <w:p w:rsidR="00991AA8" w:rsidRPr="0037047E" w:rsidRDefault="00991AA8" w:rsidP="0037047E">
      <w:pPr>
        <w:spacing w:after="0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Моделирование производилось в среде </w:t>
      </w:r>
      <w:r w:rsidRPr="0037047E">
        <w:rPr>
          <w:rFonts w:ascii="Times New Roman" w:eastAsiaTheme="minorEastAsia" w:hAnsi="Times New Roman" w:cs="Times New Roman"/>
          <w:sz w:val="20"/>
          <w:szCs w:val="20"/>
          <w:lang w:val="en-US"/>
        </w:rPr>
        <w:t>MATLAB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без использования каких-либо специальных дополнительных пакетов.</w:t>
      </w:r>
    </w:p>
    <w:p w:rsidR="00991AA8" w:rsidRPr="0037047E" w:rsidRDefault="009C7CF4" w:rsidP="0037047E">
      <w:pPr>
        <w:spacing w:after="0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В п</w:t>
      </w:r>
      <w:r w:rsidR="00991AA8" w:rsidRPr="0037047E">
        <w:rPr>
          <w:rFonts w:ascii="Times New Roman" w:eastAsiaTheme="minorEastAsia" w:hAnsi="Times New Roman" w:cs="Times New Roman"/>
          <w:sz w:val="20"/>
          <w:szCs w:val="20"/>
        </w:rPr>
        <w:t>роцесс</w:t>
      </w:r>
      <w:r>
        <w:rPr>
          <w:rFonts w:ascii="Times New Roman" w:eastAsiaTheme="minorEastAsia" w:hAnsi="Times New Roman" w:cs="Times New Roman"/>
          <w:sz w:val="20"/>
          <w:szCs w:val="20"/>
        </w:rPr>
        <w:t>е</w:t>
      </w:r>
      <w:r w:rsidR="00991AA8"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подготовки модели можно выделить три этапа</w:t>
      </w:r>
      <w:r w:rsidR="00902655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C33C8E" w:rsidRDefault="00991AA8" w:rsidP="0090265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Разложение индикатрисы в ряд по полиномам Лежандра, а именно поиск коэффициентов разложения, и сравнение, восстановленной индикатрисы </w:t>
      </w:r>
      <w:proofErr w:type="gramStart"/>
      <w:r w:rsidRPr="0037047E">
        <w:rPr>
          <w:rFonts w:ascii="Times New Roman" w:eastAsiaTheme="minorEastAsia" w:hAnsi="Times New Roman" w:cs="Times New Roman"/>
          <w:sz w:val="20"/>
          <w:szCs w:val="20"/>
        </w:rPr>
        <w:t>с</w:t>
      </w:r>
      <w:proofErr w:type="gramEnd"/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исходной. Для счёта коэффициентов использовались квадратуры Гаусса</w:t>
      </w:r>
      <w:r w:rsidR="00C33C8E">
        <w:rPr>
          <w:rFonts w:ascii="Times New Roman" w:eastAsiaTheme="minorEastAsia" w:hAnsi="Times New Roman" w:cs="Times New Roman"/>
          <w:sz w:val="20"/>
          <w:szCs w:val="20"/>
        </w:rPr>
        <w:t>:</w:t>
      </w:r>
    </w:p>
    <w:p w:rsidR="00C33C8E" w:rsidRPr="00A60075" w:rsidRDefault="00C33C8E" w:rsidP="00902655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</w:rPr>
      </w:pPr>
      <m:oMathPara>
        <m:oMath>
          <m:nary>
            <m:naryPr>
              <m:limLoc m:val="undOvr"/>
              <m:ctrlPr>
                <w:rPr>
                  <w:rFonts w:ascii="Cambria Math" w:hAnsi="Times New Roman" w:cs="Times New Roman"/>
                  <w:i/>
                </w:rPr>
              </m:ctrlPr>
            </m:naryPr>
            <m:sub>
              <m:r>
                <w:rPr>
                  <w:rFonts w:ascii="Times New Roman" w:hAnsi="Times New Roman" w:cs="Times New Roman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</w:rPr>
                <m:t>1</m:t>
              </m:r>
            </m:sup>
            <m:e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dx</m:t>
              </m:r>
              <m:r>
                <w:rPr>
                  <w:rFonts w:ascii="Times New Roman" w:hAnsi="Cambria Math" w:cs="Times New Roman"/>
                </w:rPr>
                <m:t>≅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Times New Roman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k</m:t>
                  </m:r>
                  <m:r>
                    <w:rPr>
                      <w:rFonts w:ascii="Cambria Math" w:hAnsi="Times New Roman" w:cs="Times New Roman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k</m:t>
                          </m:r>
                        </m:sub>
                      </m:sSub>
                    </m:e>
                  </m:d>
                  <m:r>
                    <w:rPr>
                      <w:rFonts w:ascii="Cambria Math" w:hAnsi="Times New Roman" w:cs="Times New Roman"/>
                    </w:rPr>
                    <m:t>,   (1)</m:t>
                  </m:r>
                </m:e>
              </m:nary>
            </m:e>
          </m:nary>
        </m:oMath>
      </m:oMathPara>
    </w:p>
    <w:p w:rsidR="00C33C8E" w:rsidRDefault="00C33C8E" w:rsidP="00902655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vertAlign w:val="subscript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где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  <m:r>
          <w:rPr>
            <w:rFonts w:ascii="Cambria Math" w:hAnsi="Cambria Math" w:cs="Times New Roman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vertAlign w:val="subscript"/>
              </w:rPr>
              <m:t>2</m:t>
            </m:r>
          </m:num>
          <m:den>
            <m:r>
              <w:rPr>
                <w:rFonts w:ascii="Cambria Math" w:hAnsi="Cambria Math" w:cs="Times New Roman"/>
                <w:vertAlign w:val="subscript"/>
              </w:rPr>
              <m:t>(1-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)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</w:p>
    <w:p w:rsidR="00A60075" w:rsidRPr="00A60075" w:rsidRDefault="00A60075" w:rsidP="00902655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60075">
        <w:rPr>
          <w:rFonts w:ascii="Times New Roman" w:hAnsi="Times New Roman" w:cs="Times New Roman"/>
          <w:sz w:val="20"/>
          <w:szCs w:val="20"/>
        </w:rPr>
        <w:t xml:space="preserve">Узлами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sub>
        </m:sSub>
      </m:oMath>
      <w:r w:rsidRPr="00A60075">
        <w:rPr>
          <w:rFonts w:ascii="Times New Roman" w:hAnsi="Times New Roman" w:cs="Times New Roman"/>
          <w:sz w:val="20"/>
          <w:szCs w:val="20"/>
        </w:rPr>
        <w:t xml:space="preserve"> в (1) должны быть корни многочлена степени </w:t>
      </w:r>
      <w:r w:rsidRPr="00A6007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60075">
        <w:rPr>
          <w:rFonts w:ascii="Times New Roman" w:hAnsi="Times New Roman" w:cs="Times New Roman"/>
          <w:sz w:val="20"/>
          <w:szCs w:val="20"/>
        </w:rPr>
        <w:t xml:space="preserve">, ортогонального ко всем многочленам степени меньшей </w:t>
      </w:r>
      <w:r w:rsidRPr="00A6007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60075">
        <w:rPr>
          <w:rFonts w:ascii="Times New Roman" w:hAnsi="Times New Roman" w:cs="Times New Roman"/>
          <w:sz w:val="20"/>
          <w:szCs w:val="20"/>
        </w:rPr>
        <w:t xml:space="preserve"> и определённого на</w:t>
      </w:r>
      <w:r>
        <w:rPr>
          <w:rFonts w:ascii="Times New Roman" w:hAnsi="Times New Roman" w:cs="Times New Roman"/>
          <w:sz w:val="20"/>
          <w:szCs w:val="20"/>
        </w:rPr>
        <w:t xml:space="preserve"> [-1, 1]. </w:t>
      </w:r>
      <w:r w:rsidRPr="00A60075">
        <w:rPr>
          <w:rFonts w:ascii="Times New Roman" w:hAnsi="Times New Roman" w:cs="Times New Roman"/>
          <w:sz w:val="20"/>
          <w:szCs w:val="20"/>
        </w:rPr>
        <w:t>Многочлены, обладающие указанными свойствами, называются многочленами Лежандра</w:t>
      </w:r>
      <w:proofErr w:type="gramStart"/>
      <w:r w:rsidRPr="00A60075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(x)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.</w:t>
      </w:r>
      <w:proofErr w:type="gramEnd"/>
    </w:p>
    <w:p w:rsidR="00991AA8" w:rsidRPr="0037047E" w:rsidRDefault="00991AA8" w:rsidP="00902655">
      <w:pPr>
        <w:pStyle w:val="a3"/>
        <w:spacing w:after="0"/>
        <w:ind w:left="0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Проверка работы блока полиномиального разложения индикатрисы сделана при использовании аналитической модели индикатрисы </w:t>
      </w:r>
      <w:proofErr w:type="spellStart"/>
      <w:r w:rsidRPr="0037047E">
        <w:rPr>
          <w:rFonts w:ascii="Times New Roman" w:eastAsiaTheme="minorEastAsia" w:hAnsi="Times New Roman" w:cs="Times New Roman"/>
          <w:sz w:val="20"/>
          <w:szCs w:val="20"/>
        </w:rPr>
        <w:t>Хеньи-Гринстейна</w:t>
      </w:r>
      <w:proofErr w:type="spellEnd"/>
      <w:r w:rsidRPr="0037047E">
        <w:rPr>
          <w:rFonts w:ascii="Times New Roman" w:eastAsiaTheme="minorEastAsia" w:hAnsi="Times New Roman" w:cs="Times New Roman"/>
          <w:sz w:val="20"/>
          <w:szCs w:val="20"/>
        </w:rPr>
        <w:t>:</w:t>
      </w:r>
    </w:p>
    <w:p w:rsidR="00991AA8" w:rsidRPr="0037047E" w:rsidRDefault="00991AA8" w:rsidP="00902655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θ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4π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(1-2g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θ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,   (</m:t>
          </m:r>
          <m:r>
            <w:rPr>
              <w:rFonts w:ascii="Cambria Math" w:eastAsiaTheme="minorEastAsia" w:hAnsi="Cambria Math" w:cs="Times New Roman"/>
            </w:rPr>
            <m:t>2</m:t>
          </m:r>
          <m:r>
            <w:rPr>
              <w:rFonts w:ascii="Cambria Math" w:eastAsiaTheme="minorEastAsia" w:hAnsi="Cambria Math" w:cs="Times New Roman"/>
            </w:rPr>
            <m:t>)</m:t>
          </m:r>
        </m:oMath>
      </m:oMathPara>
    </w:p>
    <w:p w:rsidR="00991AA8" w:rsidRPr="0037047E" w:rsidRDefault="00991AA8" w:rsidP="00902655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– параметр ассиметрии, который определяет средний косинус угла рассеяния, для которой коэффициенты разложения определяются как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p>
        </m:sSup>
      </m:oMath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. Было достигнуто совпадение полученных в результате расчетов значений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</m:oMath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с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p>
        </m:sSup>
      </m:oMath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Pr="0037047E">
        <w:rPr>
          <w:rFonts w:ascii="Times New Roman" w:eastAsiaTheme="minorEastAsia" w:hAnsi="Times New Roman" w:cs="Times New Roman"/>
          <w:sz w:val="20"/>
          <w:szCs w:val="20"/>
        </w:rPr>
        <w:t>с</w:t>
      </w:r>
      <w:proofErr w:type="gramEnd"/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точностью до третьего знака после запятой вплоть до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n=100</m:t>
        </m:r>
      </m:oMath>
      <w:r w:rsidRPr="0037047E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A60075" w:rsidRDefault="00991AA8" w:rsidP="0090265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Расчёт </w:t>
      </w:r>
      <w:proofErr w:type="spellStart"/>
      <w:r w:rsidRPr="0037047E">
        <w:rPr>
          <w:rFonts w:ascii="Times New Roman" w:eastAsiaTheme="minorEastAsia" w:hAnsi="Times New Roman" w:cs="Times New Roman"/>
          <w:sz w:val="20"/>
          <w:szCs w:val="20"/>
        </w:rPr>
        <w:t>малоуглового</w:t>
      </w:r>
      <w:proofErr w:type="spellEnd"/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приближения уравнения переноса</w:t>
      </w:r>
    </w:p>
    <w:p w:rsidR="00D12A43" w:rsidRPr="00D12A43" w:rsidRDefault="00D12A43" w:rsidP="00D12A43">
      <w:pPr>
        <w:spacing w:after="0" w:line="288" w:lineRule="auto"/>
        <w:jc w:val="center"/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  <w:lang w:val="en-US"/>
          </w:rPr>
          <m:t>I</m:t>
        </m:r>
        <m:d>
          <m:dPr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τ</m:t>
            </m:r>
            <m:r>
              <w:rPr>
                <w:rFonts w:ascii="Cambria Math" w:hAnsi="Times New Roman" w:cs="Times New Roman"/>
              </w:rPr>
              <m:t>,</m:t>
            </m:r>
            <m:r>
              <w:rPr>
                <w:rFonts w:ascii="Cambria Math" w:hAnsi="Cambria Math" w:cs="Times New Roman"/>
              </w:rPr>
              <m:t>μ,φ</m:t>
            </m:r>
          </m:e>
        </m:d>
        <m:r>
          <w:rPr>
            <w:rFonts w:ascii="Cambria Math" w:hAnsi="Times New Roman" w:cs="Times New Roman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Λ</m:t>
            </m:r>
          </m:num>
          <m:den>
            <m:r>
              <w:rPr>
                <w:rFonts w:ascii="Cambria Math" w:hAnsi="Times New Roman" w:cs="Times New Roman"/>
              </w:rPr>
              <m:t>4</m:t>
            </m:r>
            <m:r>
              <w:rPr>
                <w:rFonts w:ascii="Cambria Math" w:hAnsi="Cambria Math" w:cs="Times New Roman"/>
              </w:rPr>
              <m:t>π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τ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0</m:t>
                    </m:r>
                  </m:sub>
                </m:sSub>
              </m:den>
            </m:f>
          </m:sup>
        </m:sSup>
        <m:r>
          <w:rPr>
            <w:rFonts w:ascii="Cambria Math" w:hAnsi="Times New Roman" w:cs="Times New Roman"/>
            <w:lang w:val="en-US"/>
          </w:rPr>
          <m:t>(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Times New Roman" w:cs="Times New Roman"/>
                <w:lang w:val="en-US"/>
              </w:rPr>
              <m:t>=0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hAnsi="Times New Roman" w:cs="Times New Roman"/>
                  </w:rPr>
                  <m:t>+1</m:t>
                </m:r>
              </m:e>
            </m:d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Λ</m:t>
                    </m:r>
                    <m:r>
                      <w:rPr>
                        <w:rFonts w:ascii="Cambria Math" w:hAnsi="Times New Roman" w:cs="Times New Roman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τ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0</m:t>
                        </m:r>
                      </m:sub>
                    </m:sSub>
                  </m:den>
                </m:f>
              </m:sup>
            </m:sSup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Λ</m:t>
                </m:r>
                <m:r>
                  <w:rPr>
                    <w:rFonts w:ascii="Cambria Math" w:hAnsi="Times New Roman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τ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1)</m:t>
            </m:r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γ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</w:rPr>
                      <m:t>φ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e>
                </m:d>
              </m:e>
            </m:d>
            <m:r>
              <w:rPr>
                <w:rFonts w:ascii="Cambria Math" w:hAnsi="Times New Roman" w:cs="Times New Roman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ssc</m:t>
                </m:r>
              </m:sup>
            </m:sSup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Cambria Math" w:cs="Times New Roman"/>
              </w:rPr>
              <m:t>τ</m:t>
            </m:r>
            <m:r>
              <w:rPr>
                <w:rFonts w:ascii="Cambria Math" w:hAnsi="Times New Roman" w:cs="Times New Roman"/>
              </w:rPr>
              <m:t>,</m:t>
            </m:r>
            <m:r>
              <w:rPr>
                <w:rFonts w:ascii="Cambria Math" w:hAnsi="Cambria Math" w:cs="Times New Roman"/>
              </w:rPr>
              <m:t>μ</m:t>
            </m:r>
            <m:r>
              <w:rPr>
                <w:rFonts w:ascii="Cambria Math" w:hAnsi="Cambria Math" w:cs="Times New Roman"/>
                <w:lang w:val="en-US"/>
              </w:rPr>
              <m:t>,</m:t>
            </m:r>
            <m:r>
              <w:rPr>
                <w:rFonts w:ascii="Cambria Math" w:hAnsi="Cambria Math" w:cs="Times New Roman"/>
              </w:rPr>
              <m:t>φ</m:t>
            </m:r>
            <m:r>
              <w:rPr>
                <w:rFonts w:ascii="Cambria Math" w:hAnsi="Times New Roman" w:cs="Times New Roman"/>
              </w:rPr>
              <m:t>)),</m:t>
            </m:r>
            <m:r>
              <w:rPr>
                <w:rFonts w:ascii="Cambria Math" w:hAnsi="Times New Roman" w:cs="Times New Roman"/>
              </w:rPr>
              <m:t xml:space="preserve">   (3)</m:t>
            </m:r>
            <m:r>
              <w:rPr>
                <w:rFonts w:ascii="Cambria Math" w:hAnsi="Times New Roman" w:cs="Times New Roman"/>
              </w:rPr>
              <m:t xml:space="preserve"> </m:t>
            </m:r>
          </m:e>
        </m:nary>
      </m:oMath>
      <w:r>
        <w:rPr>
          <w:rFonts w:ascii="Times New Roman" w:eastAsiaTheme="minorEastAsia" w:hAnsi="Times New Roman" w:cs="Times New Roman"/>
          <w:i/>
        </w:rPr>
        <w:t xml:space="preserve"> </w:t>
      </w:r>
      <w:bookmarkStart w:id="0" w:name="_GoBack"/>
      <w:bookmarkEnd w:id="0"/>
    </w:p>
    <w:p w:rsidR="009C7CF4" w:rsidRDefault="009C7CF4" w:rsidP="00902655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C7CF4" w:rsidRDefault="009C7CF4" w:rsidP="00902655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12A43" w:rsidRPr="00D12A43" w:rsidRDefault="00D12A43" w:rsidP="00902655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2A43">
        <w:rPr>
          <w:rFonts w:ascii="Times New Roman" w:hAnsi="Times New Roman" w:cs="Times New Roman"/>
          <w:sz w:val="20"/>
          <w:szCs w:val="20"/>
        </w:rPr>
        <w:lastRenderedPageBreak/>
        <w:t>где</w:t>
      </w:r>
    </w:p>
    <w:p w:rsidR="00D12A43" w:rsidRPr="00D12A43" w:rsidRDefault="00D12A43" w:rsidP="00D12A43">
      <w:pPr>
        <w:tabs>
          <w:tab w:val="left" w:pos="6946"/>
        </w:tabs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ssc</m:t>
                      </m:r>
                    </m:sup>
                  </m:sSup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τ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,μ,</m:t>
                      </m:r>
                      <m:r>
                        <w:rPr>
                          <w:rFonts w:ascii="Cambria Math" w:hAnsi="Cambria Math" w:cs="Times New Roman"/>
                        </w:rPr>
                        <m:t>φ</m:t>
                      </m:r>
                      <m:r>
                        <w:rPr>
                          <w:rFonts w:ascii="Cambria Math" w:hAnsi="Times New Roman" w:cs="Times New Roman"/>
                        </w:rPr>
                        <m:t>)</m:t>
                      </m:r>
                    </m:e>
                  </m:d>
                  <m:r>
                    <w:rPr>
                      <w:rFonts w:ascii="Cambria Math" w:hAnsi="Times New Roman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</w:rPr>
                        <m:t>0</m:t>
                      </m:r>
                    </m:sub>
                  </m:sSub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τ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Times New Roman" w:cs="Times New Roman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τ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μ</m:t>
                              </m:r>
                            </m:den>
                          </m:f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-μ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tot</m:t>
                      </m:r>
                    </m:sub>
                  </m:sSub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γ(μ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φ</m:t>
                      </m:r>
                      <m:r>
                        <w:rPr>
                          <w:rFonts w:ascii="Cambria Math" w:hAnsi="Times New Roman" w:cs="Times New Roman"/>
                        </w:rPr>
                        <m:t>)</m:t>
                      </m:r>
                    </m:e>
                  </m:d>
                  <m:r>
                    <w:rPr>
                      <w:rFonts w:ascii="Cambria Math" w:hAnsi="Times New Roman" w:cs="Times New Roman"/>
                    </w:rPr>
                    <m:t xml:space="preserve">,   </m:t>
                  </m:r>
                  <m:r>
                    <w:rPr>
                      <w:rFonts w:ascii="Cambria Math" w:hAnsi="Cambria Math" w:cs="Times New Roman"/>
                    </w:rPr>
                    <m:t>μ</m:t>
                  </m:r>
                  <m:r>
                    <w:rPr>
                      <w:rFonts w:ascii="Cambria Math" w:hAnsi="Times New Roman" w:cs="Times New Roman"/>
                    </w:rPr>
                    <m:t>≠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ssc</m:t>
                      </m:r>
                    </m:sup>
                  </m:sSup>
                  <m:r>
                    <w:rPr>
                      <w:rFonts w:ascii="Cambria Math" w:hAnsi="Times New Roman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</w:rPr>
                    <m:t>τ</m:t>
                  </m:r>
                  <m:r>
                    <w:rPr>
                      <w:rFonts w:ascii="Cambria Math" w:hAnsi="Times New Roman" w:cs="Times New Roman"/>
                    </w:rPr>
                    <m:t>,</m:t>
                  </m:r>
                  <m:r>
                    <w:rPr>
                      <w:rFonts w:ascii="Cambria Math" w:hAnsi="Cambria Math" w:cs="Times New Roman"/>
                    </w:rPr>
                    <m:t>μ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</w:rPr>
                    <m:t>φ</m:t>
                  </m:r>
                  <m:r>
                    <w:rPr>
                      <w:rFonts w:ascii="Cambria Math" w:hAnsi="Times New Roman" w:cs="Times New Roman"/>
                    </w:rPr>
                    <m:t xml:space="preserve">)= </m:t>
                  </m:r>
                  <m:r>
                    <w:rPr>
                      <w:rFonts w:ascii="Cambria Math" w:hAnsi="Cambria Math" w:cs="Times New Roman"/>
                    </w:rPr>
                    <m:t>τ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τ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Times New Roman" w:cs="Times New Roman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0</m:t>
                          </m:r>
                        </m:sub>
                      </m:sSub>
                    </m:den>
                  </m:f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tot</m:t>
                      </m:r>
                    </m:sub>
                  </m:sSub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γ(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φ</m:t>
                      </m:r>
                      <m:r>
                        <w:rPr>
                          <w:rFonts w:ascii="Cambria Math" w:hAnsi="Times New Roman" w:cs="Times New Roman"/>
                        </w:rPr>
                        <m:t>)</m:t>
                      </m:r>
                    </m:e>
                  </m:d>
                  <m:r>
                    <w:rPr>
                      <w:rFonts w:ascii="Cambria Math" w:hAnsi="Times New Roman" w:cs="Times New Roman"/>
                    </w:rPr>
                    <m:t xml:space="preserve">,    </m:t>
                  </m:r>
                  <m:r>
                    <w:rPr>
                      <w:rFonts w:ascii="Cambria Math" w:hAnsi="Cambria Math" w:cs="Times New Roman"/>
                    </w:rPr>
                    <m:t>μ</m:t>
                  </m:r>
                  <m:r>
                    <w:rPr>
                      <w:rFonts w:ascii="Cambria Math" w:hAnsi="Times New Roman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 w:cs="Times New Roman"/>
                    </w:rPr>
                    <m:t>.</m:t>
                  </m:r>
                </m:e>
              </m:eqArr>
            </m:e>
          </m:d>
        </m:oMath>
      </m:oMathPara>
    </w:p>
    <w:p w:rsidR="00991AA8" w:rsidRPr="0037047E" w:rsidRDefault="00991AA8" w:rsidP="0090265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Тестирование </w:t>
      </w:r>
      <w:r w:rsidR="00902655">
        <w:rPr>
          <w:rFonts w:ascii="Times New Roman" w:eastAsiaTheme="minorEastAsia" w:hAnsi="Times New Roman" w:cs="Times New Roman"/>
          <w:sz w:val="20"/>
          <w:szCs w:val="20"/>
        </w:rPr>
        <w:t>полученной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модели в целом: сравнение результатов с данными измерений сети </w:t>
      </w:r>
      <w:r w:rsidRPr="0037047E">
        <w:rPr>
          <w:rFonts w:ascii="Times New Roman" w:eastAsiaTheme="minorEastAsia" w:hAnsi="Times New Roman" w:cs="Times New Roman"/>
          <w:sz w:val="20"/>
          <w:szCs w:val="20"/>
          <w:lang w:val="en-US"/>
        </w:rPr>
        <w:t>AERONET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>[</w:t>
      </w:r>
      <w:r w:rsidR="00301B0D">
        <w:rPr>
          <w:rFonts w:ascii="Times New Roman" w:eastAsiaTheme="minorEastAsia" w:hAnsi="Times New Roman" w:cs="Times New Roman"/>
          <w:sz w:val="20"/>
          <w:szCs w:val="20"/>
        </w:rPr>
        <w:t>5</w:t>
      </w:r>
      <w:r w:rsidRPr="0037047E">
        <w:rPr>
          <w:rFonts w:ascii="Times New Roman" w:hAnsi="Times New Roman" w:cs="Times New Roman"/>
          <w:sz w:val="20"/>
          <w:szCs w:val="20"/>
        </w:rPr>
        <w:t>]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991AA8" w:rsidRDefault="00902655" w:rsidP="00991AA8">
      <w:pPr>
        <w:spacing w:after="0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Процедура восстановления функции</w:t>
      </w:r>
      <w:r w:rsidR="00991AA8"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тестировалась </w:t>
      </w:r>
      <w:r w:rsidR="00991AA8" w:rsidRPr="0037047E">
        <w:rPr>
          <w:rFonts w:ascii="Times New Roman" w:eastAsiaTheme="minorEastAsia" w:hAnsi="Times New Roman" w:cs="Times New Roman"/>
          <w:sz w:val="20"/>
          <w:szCs w:val="20"/>
        </w:rPr>
        <w:t xml:space="preserve">на индикатрисе </w:t>
      </w:r>
      <w:r w:rsidR="00991AA8" w:rsidRPr="0037047E">
        <w:rPr>
          <w:rFonts w:ascii="Times New Roman" w:eastAsiaTheme="minorEastAsia" w:hAnsi="Times New Roman" w:cs="Times New Roman"/>
          <w:sz w:val="20"/>
          <w:szCs w:val="20"/>
          <w:lang w:val="en-US"/>
        </w:rPr>
        <w:t>AERONET</w:t>
      </w:r>
      <w:r w:rsidR="00991AA8"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(график.1). На графике можно видеть, что исходная и восстановленная индикатрисы очень хорошо совпадают, что означает, что счёт интеграла от полиномов Лежандра вплоть до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=180</m:t>
        </m:r>
      </m:oMath>
      <w:r w:rsidR="00991AA8"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выполнен успешно.</w:t>
      </w:r>
    </w:p>
    <w:p w:rsidR="00D12A43" w:rsidRDefault="00D12A43" w:rsidP="00D12A43">
      <w:pPr>
        <w:spacing w:after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3126FBB" wp14:editId="15552583">
            <wp:extent cx="2977287" cy="1998613"/>
            <wp:effectExtent l="0" t="0" r="0" b="1905"/>
            <wp:docPr id="2" name="Рисунок 14" descr="D:\Documents and Settings\Филипп\Рабочий стол\recov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s and Settings\Филипп\Рабочий стол\recover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87" cy="199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A43" w:rsidRPr="00D12A43" w:rsidRDefault="00D12A43" w:rsidP="00F75096">
      <w:pPr>
        <w:rPr>
          <w:rFonts w:ascii="Times New Roman" w:hAnsi="Times New Roman" w:cs="Times New Roman"/>
          <w:sz w:val="16"/>
          <w:szCs w:val="16"/>
        </w:rPr>
      </w:pPr>
      <w:r w:rsidRPr="00D12A43">
        <w:rPr>
          <w:rFonts w:ascii="Times New Roman" w:hAnsi="Times New Roman" w:cs="Times New Roman"/>
          <w:sz w:val="16"/>
          <w:szCs w:val="16"/>
        </w:rPr>
        <w:t xml:space="preserve">График 1.  Восстановление фазовой функции, измеренной в альмукантарате, при разложении в ряд по полиномам Лежандра, число членов разложения </w:t>
      </w:r>
      <m:oMath>
        <m:r>
          <w:rPr>
            <w:rFonts w:ascii="Cambria Math" w:hAnsi="Cambria Math" w:cs="Times New Roman"/>
            <w:sz w:val="16"/>
            <w:szCs w:val="16"/>
          </w:rPr>
          <m:t>N</m:t>
        </m:r>
        <m:r>
          <w:rPr>
            <w:rFonts w:ascii="Cambria Math" w:hAnsi="Times New Roman" w:cs="Times New Roman"/>
            <w:sz w:val="16"/>
            <w:szCs w:val="16"/>
          </w:rPr>
          <m:t>=180</m:t>
        </m:r>
      </m:oMath>
      <w:r w:rsidRPr="00D12A43">
        <w:rPr>
          <w:rFonts w:ascii="Times New Roman" w:hAnsi="Times New Roman" w:cs="Times New Roman"/>
          <w:sz w:val="16"/>
          <w:szCs w:val="16"/>
        </w:rPr>
        <w:t>.</w:t>
      </w:r>
    </w:p>
    <w:p w:rsidR="00991AA8" w:rsidRDefault="00991AA8" w:rsidP="0037047E">
      <w:pPr>
        <w:spacing w:after="0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С сайта </w:t>
      </w:r>
      <w:r w:rsidRPr="0037047E">
        <w:rPr>
          <w:rFonts w:ascii="Times New Roman" w:eastAsiaTheme="minorEastAsia" w:hAnsi="Times New Roman" w:cs="Times New Roman"/>
          <w:sz w:val="20"/>
          <w:szCs w:val="20"/>
          <w:lang w:val="en-US"/>
        </w:rPr>
        <w:t>AERONET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была взяты </w:t>
      </w:r>
      <w:r w:rsidR="00902655">
        <w:rPr>
          <w:rFonts w:ascii="Times New Roman" w:eastAsiaTheme="minorEastAsia" w:hAnsi="Times New Roman" w:cs="Times New Roman"/>
          <w:sz w:val="20"/>
          <w:szCs w:val="20"/>
        </w:rPr>
        <w:t>обращённые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данные для аэрозоля, а именно: индикатриса, оптическая толщина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τ</m:t>
        </m:r>
      </m:oMath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, вероятность выживания кванта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Λ</m:t>
        </m:r>
      </m:oMath>
      <w:r w:rsidR="00DE77E1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>зенитный угол</w:t>
      </w:r>
      <w:r w:rsidR="00DE77E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0</m:t>
            </m:r>
          </m:sub>
        </m:sSub>
      </m:oMath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на солнце на момент измерений. Полученные результаты для различных </w:t>
      </w:r>
      <w:r w:rsidR="006D6635">
        <w:rPr>
          <w:rFonts w:ascii="Times New Roman" w:eastAsiaTheme="minorEastAsia" w:hAnsi="Times New Roman" w:cs="Times New Roman"/>
          <w:sz w:val="20"/>
          <w:szCs w:val="20"/>
        </w:rPr>
        <w:t>географических местоположений детекторов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и времени</w:t>
      </w:r>
      <w:r w:rsidR="006D6635">
        <w:rPr>
          <w:rFonts w:ascii="Times New Roman" w:eastAsiaTheme="minorEastAsia" w:hAnsi="Times New Roman" w:cs="Times New Roman"/>
          <w:sz w:val="20"/>
          <w:szCs w:val="20"/>
        </w:rPr>
        <w:t xml:space="preserve"> измерения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сравнивались с результатами измерений солнечного фотометра </w:t>
      </w:r>
      <w:proofErr w:type="spellStart"/>
      <w:r w:rsidRPr="0037047E">
        <w:rPr>
          <w:rFonts w:ascii="Times New Roman" w:eastAsiaTheme="minorEastAsia" w:hAnsi="Times New Roman" w:cs="Times New Roman"/>
          <w:sz w:val="20"/>
          <w:szCs w:val="20"/>
          <w:lang w:val="en-US"/>
        </w:rPr>
        <w:t>Cimel</w:t>
      </w:r>
      <w:proofErr w:type="spellEnd"/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сети </w:t>
      </w:r>
      <w:r w:rsidRPr="0037047E">
        <w:rPr>
          <w:rFonts w:ascii="Times New Roman" w:eastAsiaTheme="minorEastAsia" w:hAnsi="Times New Roman" w:cs="Times New Roman"/>
          <w:sz w:val="20"/>
          <w:szCs w:val="20"/>
          <w:lang w:val="en-US"/>
        </w:rPr>
        <w:t>AERONET</w:t>
      </w:r>
      <w:r w:rsidR="0024787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47873" w:rsidRPr="0037047E">
        <w:rPr>
          <w:rFonts w:ascii="Times New Roman" w:eastAsiaTheme="minorEastAsia" w:hAnsi="Times New Roman" w:cs="Times New Roman"/>
          <w:sz w:val="20"/>
          <w:szCs w:val="20"/>
        </w:rPr>
        <w:t>[</w:t>
      </w:r>
      <w:r w:rsidR="00301B0D">
        <w:rPr>
          <w:rFonts w:ascii="Times New Roman" w:eastAsiaTheme="minorEastAsia" w:hAnsi="Times New Roman" w:cs="Times New Roman"/>
          <w:sz w:val="20"/>
          <w:szCs w:val="20"/>
        </w:rPr>
        <w:t>5</w:t>
      </w:r>
      <w:r w:rsidR="00247873" w:rsidRPr="0037047E">
        <w:rPr>
          <w:rFonts w:ascii="Times New Roman" w:hAnsi="Times New Roman" w:cs="Times New Roman"/>
          <w:sz w:val="20"/>
          <w:szCs w:val="20"/>
        </w:rPr>
        <w:t>]</w:t>
      </w:r>
      <w:r w:rsidR="00247873">
        <w:rPr>
          <w:rFonts w:ascii="Times New Roman" w:eastAsiaTheme="minorEastAsia" w:hAnsi="Times New Roman" w:cs="Times New Roman"/>
          <w:sz w:val="20"/>
          <w:szCs w:val="20"/>
        </w:rPr>
        <w:t xml:space="preserve">, как это представлено на 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>график</w:t>
      </w:r>
      <w:r w:rsidR="00247873">
        <w:rPr>
          <w:rFonts w:ascii="Times New Roman" w:eastAsiaTheme="minorEastAsia" w:hAnsi="Times New Roman" w:cs="Times New Roman"/>
          <w:sz w:val="20"/>
          <w:szCs w:val="20"/>
        </w:rPr>
        <w:t>е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47873">
        <w:rPr>
          <w:rFonts w:ascii="Times New Roman" w:eastAsiaTheme="minorEastAsia" w:hAnsi="Times New Roman" w:cs="Times New Roman"/>
          <w:sz w:val="20"/>
          <w:szCs w:val="20"/>
        </w:rPr>
        <w:t>2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. Все сопоставления проведены для измерений, сделанных в альмукантарате. Т.е. работоспособность 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модели </w:t>
      </w:r>
      <w:r w:rsidR="00DE77E1">
        <w:rPr>
          <w:rFonts w:ascii="Times New Roman" w:eastAsiaTheme="minorEastAsia" w:hAnsi="Times New Roman" w:cs="Times New Roman"/>
          <w:sz w:val="20"/>
          <w:szCs w:val="20"/>
        </w:rPr>
        <w:t>была установлена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на основе измерений и расчетов, </w:t>
      </w:r>
      <w:r w:rsidR="00247873">
        <w:rPr>
          <w:rFonts w:ascii="Times New Roman" w:eastAsiaTheme="minorEastAsia" w:hAnsi="Times New Roman" w:cs="Times New Roman"/>
          <w:sz w:val="20"/>
          <w:szCs w:val="20"/>
        </w:rPr>
        <w:t>выполненных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37047E">
        <w:rPr>
          <w:rFonts w:ascii="Times New Roman" w:eastAsiaTheme="minorEastAsia" w:hAnsi="Times New Roman" w:cs="Times New Roman"/>
          <w:sz w:val="20"/>
          <w:szCs w:val="20"/>
          <w:lang w:val="en-US"/>
        </w:rPr>
        <w:t>AERONET</w:t>
      </w:r>
      <w:r w:rsidRPr="0037047E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301B0D" w:rsidRDefault="00172934" w:rsidP="00301B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</w:rPr>
        <w:drawing>
          <wp:inline distT="0" distB="0" distL="0" distR="0" wp14:anchorId="242F5D98" wp14:editId="48265261">
            <wp:extent cx="3379623" cy="2342928"/>
            <wp:effectExtent l="0" t="0" r="0" b="635"/>
            <wp:docPr id="5" name="Рисунок 2" descr="D:\Documents and Settings\Филипп\Рабочий стол\33.1_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Филипп\Рабочий стол\33.1_4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61" cy="235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934" w:rsidRPr="00172934" w:rsidRDefault="00172934" w:rsidP="00301B0D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172934">
        <w:rPr>
          <w:rFonts w:ascii="Times New Roman" w:hAnsi="Times New Roman" w:cs="Times New Roman"/>
          <w:sz w:val="16"/>
          <w:szCs w:val="16"/>
        </w:rPr>
        <w:t xml:space="preserve">График 2. Сравнение сигналов фотометра </w:t>
      </w:r>
      <w:proofErr w:type="spellStart"/>
      <w:r w:rsidRPr="00172934">
        <w:rPr>
          <w:rFonts w:ascii="Times New Roman" w:hAnsi="Times New Roman" w:cs="Times New Roman"/>
          <w:sz w:val="16"/>
          <w:szCs w:val="16"/>
          <w:lang w:val="en-US"/>
        </w:rPr>
        <w:t>Cimel</w:t>
      </w:r>
      <w:proofErr w:type="spellEnd"/>
      <w:r w:rsidRPr="00172934">
        <w:rPr>
          <w:rFonts w:ascii="Times New Roman" w:hAnsi="Times New Roman" w:cs="Times New Roman"/>
          <w:sz w:val="16"/>
          <w:szCs w:val="16"/>
        </w:rPr>
        <w:t xml:space="preserve"> и результатов расчёта. </w:t>
      </w:r>
      <m:oMath>
        <m:sSub>
          <m:sSubPr>
            <m:ctrlPr>
              <w:rPr>
                <w:rFonts w:ascii="Cambria Math" w:hAnsi="Times New Roman" w:cs="Times New Roman"/>
                <w:i/>
                <w:sz w:val="16"/>
                <w:szCs w:val="16"/>
                <w:lang w:val="el-GR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  <w:lang w:val="el-GR"/>
              </w:rPr>
              <m:t>θ</m:t>
            </m:r>
          </m:e>
          <m:sub>
            <m:r>
              <w:rPr>
                <w:rFonts w:ascii="Cambria Math" w:hAnsi="Times New Roman" w:cs="Times New Roman"/>
                <w:sz w:val="16"/>
                <w:szCs w:val="16"/>
                <w:lang w:val="el-GR"/>
              </w:rPr>
              <m:t>0</m:t>
            </m:r>
          </m:sub>
        </m:sSub>
      </m:oMath>
      <w:r w:rsidRPr="00172934">
        <w:rPr>
          <w:rFonts w:ascii="Times New Roman" w:hAnsi="Times New Roman" w:cs="Times New Roman"/>
          <w:sz w:val="16"/>
          <w:szCs w:val="16"/>
          <w:lang w:val="it-IT"/>
        </w:rPr>
        <w:t xml:space="preserve"> = 33.094; </w:t>
      </w:r>
      <w:r w:rsidRPr="00172934">
        <w:rPr>
          <w:rFonts w:ascii="Times New Roman" w:hAnsi="Times New Roman" w:cs="Times New Roman"/>
          <w:sz w:val="16"/>
          <w:szCs w:val="16"/>
          <w:lang w:val="el-GR"/>
        </w:rPr>
        <w:t>τ</w:t>
      </w:r>
      <w:r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72934">
        <w:rPr>
          <w:rFonts w:ascii="Times New Roman" w:hAnsi="Times New Roman" w:cs="Times New Roman"/>
          <w:sz w:val="16"/>
          <w:szCs w:val="16"/>
          <w:lang w:val="it-IT"/>
        </w:rPr>
        <w:t>=</w:t>
      </w:r>
      <w:r>
        <w:rPr>
          <w:rFonts w:ascii="Times New Roman" w:hAnsi="Times New Roman" w:cs="Times New Roman"/>
          <w:sz w:val="16"/>
          <w:szCs w:val="16"/>
          <w:lang w:val="it-IT"/>
        </w:rPr>
        <w:t> </w:t>
      </w:r>
      <w:r w:rsidRPr="00172934">
        <w:rPr>
          <w:rFonts w:ascii="Times New Roman" w:hAnsi="Times New Roman" w:cs="Times New Roman"/>
          <w:sz w:val="16"/>
          <w:szCs w:val="16"/>
          <w:lang w:val="it-IT"/>
        </w:rPr>
        <w:t xml:space="preserve">0.332413; </w:t>
      </w:r>
      <w:r w:rsidRPr="00172934">
        <w:rPr>
          <w:rFonts w:ascii="Times New Roman" w:hAnsi="Times New Roman" w:cs="Times New Roman"/>
          <w:sz w:val="16"/>
          <w:szCs w:val="16"/>
          <w:lang w:val="el-GR"/>
        </w:rPr>
        <w:t>λ</w:t>
      </w:r>
      <w:r w:rsidRPr="00172934">
        <w:rPr>
          <w:rFonts w:ascii="Times New Roman" w:hAnsi="Times New Roman" w:cs="Times New Roman"/>
          <w:sz w:val="16"/>
          <w:szCs w:val="16"/>
          <w:lang w:val="it-IT"/>
        </w:rPr>
        <w:t xml:space="preserve"> = 439.6e-9; </w:t>
      </w:r>
      <w:r w:rsidRPr="00172934">
        <w:rPr>
          <w:rFonts w:ascii="Times New Roman" w:hAnsi="Times New Roman" w:cs="Times New Roman"/>
          <w:sz w:val="16"/>
          <w:szCs w:val="16"/>
          <w:lang w:val="el-GR"/>
        </w:rPr>
        <w:t>Λ</w:t>
      </w:r>
      <w:r w:rsidRPr="0017293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172934">
        <w:rPr>
          <w:rFonts w:ascii="Times New Roman" w:hAnsi="Times New Roman" w:cs="Times New Roman"/>
          <w:sz w:val="16"/>
          <w:szCs w:val="16"/>
          <w:lang w:val="it-IT"/>
        </w:rPr>
        <w:t>= 0.9405</w:t>
      </w:r>
      <w:r w:rsidRPr="00172934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172934">
        <w:rPr>
          <w:rFonts w:ascii="Times New Roman" w:hAnsi="Times New Roman" w:cs="Times New Roman"/>
          <w:sz w:val="16"/>
          <w:szCs w:val="16"/>
        </w:rPr>
        <w:t>станция</w:t>
      </w:r>
      <w:r w:rsidRPr="0017293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172934">
        <w:rPr>
          <w:rFonts w:ascii="Times New Roman" w:hAnsi="Times New Roman" w:cs="Times New Roman"/>
          <w:sz w:val="16"/>
          <w:szCs w:val="16"/>
          <w:lang w:val="it-IT"/>
        </w:rPr>
        <w:t>Rome</w:t>
      </w:r>
      <w:r w:rsidRPr="00172934">
        <w:rPr>
          <w:rFonts w:ascii="Times New Roman" w:hAnsi="Times New Roman" w:cs="Times New Roman"/>
          <w:sz w:val="16"/>
          <w:szCs w:val="16"/>
          <w:lang w:val="en-US"/>
        </w:rPr>
        <w:t xml:space="preserve"> Tor </w:t>
      </w:r>
      <w:proofErr w:type="spellStart"/>
      <w:r w:rsidRPr="00172934">
        <w:rPr>
          <w:rFonts w:ascii="Times New Roman" w:hAnsi="Times New Roman" w:cs="Times New Roman"/>
          <w:sz w:val="16"/>
          <w:szCs w:val="16"/>
          <w:lang w:val="en-US"/>
        </w:rPr>
        <w:t>Vergata</w:t>
      </w:r>
      <w:proofErr w:type="spellEnd"/>
      <w:r w:rsidRPr="00172934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DE77E1" w:rsidRDefault="00DE77E1" w:rsidP="00DE77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Таким образом, п</w:t>
      </w:r>
      <w:r w:rsidRPr="0037047E">
        <w:rPr>
          <w:rFonts w:ascii="Times New Roman" w:hAnsi="Times New Roman" w:cs="Times New Roman"/>
          <w:sz w:val="20"/>
          <w:szCs w:val="20"/>
        </w:rPr>
        <w:t xml:space="preserve">остроена модель быстрого </w:t>
      </w:r>
      <w:r>
        <w:rPr>
          <w:rFonts w:ascii="Times New Roman" w:hAnsi="Times New Roman" w:cs="Times New Roman"/>
          <w:sz w:val="20"/>
          <w:szCs w:val="20"/>
        </w:rPr>
        <w:t>вычисления</w:t>
      </w:r>
      <w:r w:rsidRPr="0037047E">
        <w:rPr>
          <w:rFonts w:ascii="Times New Roman" w:hAnsi="Times New Roman" w:cs="Times New Roman"/>
          <w:sz w:val="20"/>
          <w:szCs w:val="20"/>
        </w:rPr>
        <w:t xml:space="preserve"> углового распределения многократно рассеянного вперёд и назад излучения, как в принципиальной плоскости, так и в альмукантарате, формирующегося  при прохождении солнечного излучения через модель реальной атмосферы. Эти результаты могут быть использованы при проведении оценок сигналов наземного радиометра </w:t>
      </w:r>
      <w:proofErr w:type="spellStart"/>
      <w:r w:rsidRPr="0037047E">
        <w:rPr>
          <w:rFonts w:ascii="Times New Roman" w:hAnsi="Times New Roman" w:cs="Times New Roman"/>
          <w:sz w:val="20"/>
          <w:szCs w:val="20"/>
          <w:lang w:val="en-US"/>
        </w:rPr>
        <w:t>Cimel</w:t>
      </w:r>
      <w:proofErr w:type="spellEnd"/>
      <w:r w:rsidRPr="0037047E">
        <w:rPr>
          <w:rFonts w:ascii="Times New Roman" w:hAnsi="Times New Roman" w:cs="Times New Roman"/>
          <w:sz w:val="20"/>
          <w:szCs w:val="20"/>
        </w:rPr>
        <w:t xml:space="preserve">, работающего в сети </w:t>
      </w:r>
      <w:r w:rsidRPr="0037047E">
        <w:rPr>
          <w:rFonts w:ascii="Times New Roman" w:hAnsi="Times New Roman" w:cs="Times New Roman"/>
          <w:sz w:val="20"/>
          <w:szCs w:val="20"/>
          <w:lang w:val="en-US"/>
        </w:rPr>
        <w:t>AERONET</w:t>
      </w:r>
      <w:r w:rsidRPr="0037047E">
        <w:rPr>
          <w:rFonts w:ascii="Times New Roman" w:hAnsi="Times New Roman" w:cs="Times New Roman"/>
          <w:sz w:val="20"/>
          <w:szCs w:val="20"/>
        </w:rPr>
        <w:t>.</w:t>
      </w:r>
    </w:p>
    <w:p w:rsidR="00172934" w:rsidRDefault="00172934" w:rsidP="006D663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12832" w:rsidRPr="00912832" w:rsidRDefault="00912832" w:rsidP="006D6635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12832">
        <w:rPr>
          <w:rFonts w:ascii="Times New Roman" w:hAnsi="Times New Roman" w:cs="Times New Roman"/>
          <w:b/>
          <w:sz w:val="16"/>
          <w:szCs w:val="16"/>
        </w:rPr>
        <w:t>Баиблиографическая</w:t>
      </w:r>
      <w:proofErr w:type="spellEnd"/>
      <w:r w:rsidRPr="00912832">
        <w:rPr>
          <w:rFonts w:ascii="Times New Roman" w:hAnsi="Times New Roman" w:cs="Times New Roman"/>
          <w:b/>
          <w:sz w:val="16"/>
          <w:szCs w:val="16"/>
        </w:rPr>
        <w:t xml:space="preserve"> список </w:t>
      </w:r>
    </w:p>
    <w:p w:rsidR="00912832" w:rsidRDefault="00912832" w:rsidP="00912832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16"/>
          <w:szCs w:val="16"/>
        </w:rPr>
      </w:pPr>
      <w:proofErr w:type="spellStart"/>
      <w:r w:rsidRPr="00912832">
        <w:rPr>
          <w:rFonts w:ascii="Times New Roman" w:hAnsi="Times New Roman" w:cs="Times New Roman"/>
          <w:b/>
          <w:sz w:val="16"/>
          <w:szCs w:val="16"/>
          <w:lang w:val="en-US"/>
        </w:rPr>
        <w:t>Lenoble</w:t>
      </w:r>
      <w:proofErr w:type="spellEnd"/>
      <w:r w:rsidRPr="00912832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Pr="00912832">
        <w:rPr>
          <w:rFonts w:ascii="Times New Roman" w:hAnsi="Times New Roman" w:cs="Times New Roman"/>
          <w:b/>
          <w:sz w:val="16"/>
          <w:szCs w:val="16"/>
          <w:lang w:val="en-US"/>
        </w:rPr>
        <w:t>J.</w:t>
      </w:r>
      <w:r w:rsidRPr="0091283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12832">
        <w:rPr>
          <w:rFonts w:ascii="Times New Roman" w:hAnsi="Times New Roman" w:cs="Times New Roman"/>
          <w:sz w:val="16"/>
          <w:szCs w:val="16"/>
          <w:lang w:val="en-US"/>
        </w:rPr>
        <w:t>Radiative</w:t>
      </w:r>
      <w:proofErr w:type="spellEnd"/>
      <w:r w:rsidRPr="00912832">
        <w:rPr>
          <w:rFonts w:ascii="Times New Roman" w:hAnsi="Times New Roman" w:cs="Times New Roman"/>
          <w:sz w:val="16"/>
          <w:szCs w:val="16"/>
          <w:lang w:val="en-US"/>
        </w:rPr>
        <w:t xml:space="preserve"> transfer in scattering and absorbing atmospheres: standard computational procedures. A</w:t>
      </w:r>
      <w:r w:rsidRPr="00912832">
        <w:rPr>
          <w:rFonts w:ascii="Times New Roman" w:hAnsi="Times New Roman" w:cs="Times New Roman"/>
          <w:sz w:val="16"/>
          <w:szCs w:val="16"/>
        </w:rPr>
        <w:t xml:space="preserve">. </w:t>
      </w:r>
      <w:r w:rsidRPr="00912832">
        <w:rPr>
          <w:rFonts w:ascii="Times New Roman" w:hAnsi="Times New Roman" w:cs="Times New Roman"/>
          <w:sz w:val="16"/>
          <w:szCs w:val="16"/>
          <w:lang w:val="en-US"/>
        </w:rPr>
        <w:t>Deepak</w:t>
      </w:r>
      <w:r w:rsidRPr="00912832">
        <w:rPr>
          <w:rFonts w:ascii="Times New Roman" w:hAnsi="Times New Roman" w:cs="Times New Roman"/>
          <w:sz w:val="16"/>
          <w:szCs w:val="16"/>
        </w:rPr>
        <w:t xml:space="preserve"> </w:t>
      </w:r>
      <w:r w:rsidRPr="00912832">
        <w:rPr>
          <w:rFonts w:ascii="Times New Roman" w:hAnsi="Times New Roman" w:cs="Times New Roman"/>
          <w:sz w:val="16"/>
          <w:szCs w:val="16"/>
          <w:lang w:val="en-US"/>
        </w:rPr>
        <w:t>Publishing</w:t>
      </w:r>
      <w:r w:rsidRPr="00912832">
        <w:rPr>
          <w:rFonts w:ascii="Times New Roman" w:hAnsi="Times New Roman" w:cs="Times New Roman"/>
          <w:sz w:val="16"/>
          <w:szCs w:val="16"/>
        </w:rPr>
        <w:t>, 1985.</w:t>
      </w:r>
    </w:p>
    <w:p w:rsidR="00912832" w:rsidRPr="00912832" w:rsidRDefault="00912832" w:rsidP="00912832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16"/>
          <w:szCs w:val="16"/>
        </w:rPr>
      </w:pPr>
      <w:r w:rsidRPr="00912832">
        <w:rPr>
          <w:rFonts w:ascii="Times New Roman" w:hAnsi="Times New Roman" w:cs="Times New Roman"/>
          <w:b/>
          <w:sz w:val="16"/>
          <w:szCs w:val="16"/>
        </w:rPr>
        <w:t xml:space="preserve">В. П. </w:t>
      </w:r>
      <w:proofErr w:type="spellStart"/>
      <w:r w:rsidRPr="00912832">
        <w:rPr>
          <w:rFonts w:ascii="Times New Roman" w:hAnsi="Times New Roman" w:cs="Times New Roman"/>
          <w:b/>
          <w:sz w:val="16"/>
          <w:szCs w:val="16"/>
        </w:rPr>
        <w:t>Будак</w:t>
      </w:r>
      <w:proofErr w:type="spellEnd"/>
      <w:r w:rsidRPr="00912832">
        <w:rPr>
          <w:rFonts w:ascii="Times New Roman" w:hAnsi="Times New Roman" w:cs="Times New Roman"/>
          <w:b/>
          <w:sz w:val="16"/>
          <w:szCs w:val="16"/>
        </w:rPr>
        <w:t>.</w:t>
      </w:r>
      <w:r w:rsidRPr="00912832">
        <w:rPr>
          <w:rFonts w:ascii="Times New Roman" w:hAnsi="Times New Roman" w:cs="Times New Roman"/>
          <w:sz w:val="16"/>
          <w:szCs w:val="16"/>
        </w:rPr>
        <w:t xml:space="preserve"> Методы решения уравнения переноса излучения. М.: Московский энергетический институт. 2007.</w:t>
      </w:r>
    </w:p>
    <w:p w:rsidR="00912832" w:rsidRPr="00912832" w:rsidRDefault="00912832" w:rsidP="00912832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16"/>
          <w:szCs w:val="16"/>
        </w:rPr>
      </w:pPr>
      <w:proofErr w:type="spellStart"/>
      <w:r w:rsidRPr="00912832">
        <w:rPr>
          <w:rFonts w:ascii="Times New Roman" w:hAnsi="Times New Roman" w:cs="Times New Roman"/>
          <w:b/>
          <w:sz w:val="16"/>
          <w:szCs w:val="16"/>
        </w:rPr>
        <w:t>Бусытин</w:t>
      </w:r>
      <w:proofErr w:type="spellEnd"/>
      <w:r w:rsidRPr="00912832">
        <w:rPr>
          <w:rFonts w:ascii="Times New Roman" w:hAnsi="Times New Roman" w:cs="Times New Roman"/>
          <w:b/>
          <w:sz w:val="16"/>
          <w:szCs w:val="16"/>
        </w:rPr>
        <w:t xml:space="preserve"> В.П. Евстратов Н.А. </w:t>
      </w:r>
      <w:proofErr w:type="spellStart"/>
      <w:r w:rsidRPr="00912832">
        <w:rPr>
          <w:rFonts w:ascii="Times New Roman" w:hAnsi="Times New Roman" w:cs="Times New Roman"/>
          <w:b/>
          <w:sz w:val="16"/>
          <w:szCs w:val="16"/>
        </w:rPr>
        <w:t>Фейгельсон</w:t>
      </w:r>
      <w:proofErr w:type="spellEnd"/>
      <w:r w:rsidRPr="00912832">
        <w:rPr>
          <w:rFonts w:ascii="Times New Roman" w:hAnsi="Times New Roman" w:cs="Times New Roman"/>
          <w:b/>
          <w:sz w:val="16"/>
          <w:szCs w:val="16"/>
        </w:rPr>
        <w:t xml:space="preserve"> Е.М.</w:t>
      </w:r>
      <w:r w:rsidRPr="00912832">
        <w:rPr>
          <w:rFonts w:ascii="Times New Roman" w:hAnsi="Times New Roman" w:cs="Times New Roman"/>
          <w:sz w:val="16"/>
          <w:szCs w:val="16"/>
        </w:rPr>
        <w:t xml:space="preserve"> Оптические свойства кучевых облаков и радиационных потоков для кучевого облачного покрова. </w:t>
      </w:r>
      <w:proofErr w:type="spellStart"/>
      <w:r w:rsidRPr="00912832">
        <w:rPr>
          <w:rFonts w:ascii="Times New Roman" w:hAnsi="Times New Roman" w:cs="Times New Roman"/>
          <w:sz w:val="16"/>
          <w:szCs w:val="16"/>
        </w:rPr>
        <w:t>Изв</w:t>
      </w:r>
      <w:proofErr w:type="spellEnd"/>
      <w:r w:rsidRPr="00912832">
        <w:rPr>
          <w:rFonts w:ascii="Times New Roman" w:hAnsi="Times New Roman" w:cs="Times New Roman"/>
          <w:sz w:val="16"/>
          <w:szCs w:val="16"/>
        </w:rPr>
        <w:t>. ФН СССР. ФАО, 1973, т. 9, с. 1142-1151.</w:t>
      </w:r>
    </w:p>
    <w:p w:rsidR="00912832" w:rsidRDefault="00912832" w:rsidP="006D663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12832">
        <w:rPr>
          <w:rFonts w:ascii="Times New Roman" w:hAnsi="Times New Roman" w:cs="Times New Roman"/>
          <w:b/>
          <w:sz w:val="16"/>
          <w:szCs w:val="16"/>
          <w:lang w:val="en-US"/>
        </w:rPr>
        <w:t>Busbridge</w:t>
      </w:r>
      <w:proofErr w:type="spellEnd"/>
      <w:r w:rsidRPr="00912832">
        <w:rPr>
          <w:rFonts w:ascii="Times New Roman" w:hAnsi="Times New Roman" w:cs="Times New Roman"/>
          <w:b/>
          <w:sz w:val="16"/>
          <w:szCs w:val="16"/>
          <w:lang w:val="en-US"/>
        </w:rPr>
        <w:t xml:space="preserve"> I.W.</w:t>
      </w:r>
      <w:r w:rsidRPr="00912832">
        <w:rPr>
          <w:rFonts w:ascii="Times New Roman" w:hAnsi="Times New Roman" w:cs="Times New Roman"/>
          <w:sz w:val="16"/>
          <w:szCs w:val="16"/>
          <w:lang w:val="en-US"/>
        </w:rPr>
        <w:t xml:space="preserve"> The mathematics of </w:t>
      </w:r>
      <w:proofErr w:type="spellStart"/>
      <w:r w:rsidRPr="00912832">
        <w:rPr>
          <w:rFonts w:ascii="Times New Roman" w:hAnsi="Times New Roman" w:cs="Times New Roman"/>
          <w:sz w:val="16"/>
          <w:szCs w:val="16"/>
          <w:lang w:val="en-US"/>
        </w:rPr>
        <w:t>radiative</w:t>
      </w:r>
      <w:proofErr w:type="spellEnd"/>
      <w:r w:rsidRPr="00912832">
        <w:rPr>
          <w:rFonts w:ascii="Times New Roman" w:hAnsi="Times New Roman" w:cs="Times New Roman"/>
          <w:sz w:val="16"/>
          <w:szCs w:val="16"/>
          <w:lang w:val="en-US"/>
        </w:rPr>
        <w:t xml:space="preserve"> transfer. Univ. press, </w:t>
      </w:r>
      <w:r w:rsidRPr="00912832">
        <w:rPr>
          <w:rFonts w:ascii="Times New Roman" w:hAnsi="Times New Roman" w:cs="Times New Roman"/>
          <w:sz w:val="16"/>
          <w:szCs w:val="16"/>
          <w:lang w:val="en-US"/>
        </w:rPr>
        <w:t>Cambridge</w:t>
      </w:r>
      <w:r w:rsidRPr="00912832">
        <w:rPr>
          <w:rFonts w:ascii="Times New Roman" w:hAnsi="Times New Roman" w:cs="Times New Roman"/>
          <w:sz w:val="16"/>
          <w:szCs w:val="16"/>
          <w:lang w:val="en-US"/>
        </w:rPr>
        <w:t>, 1960.</w:t>
      </w:r>
    </w:p>
    <w:p w:rsidR="00912832" w:rsidRPr="00912832" w:rsidRDefault="00912832" w:rsidP="00912832">
      <w:pPr>
        <w:pStyle w:val="a3"/>
        <w:numPr>
          <w:ilvl w:val="0"/>
          <w:numId w:val="2"/>
        </w:numPr>
        <w:ind w:left="644"/>
        <w:rPr>
          <w:rFonts w:ascii="Times New Roman" w:hAnsi="Times New Roman" w:cs="Times New Roman"/>
          <w:sz w:val="16"/>
          <w:szCs w:val="16"/>
          <w:lang w:val="en-US"/>
        </w:rPr>
      </w:pPr>
      <w:r w:rsidRPr="00912832">
        <w:rPr>
          <w:rFonts w:ascii="Times New Roman" w:hAnsi="Times New Roman" w:cs="Times New Roman"/>
          <w:sz w:val="16"/>
          <w:szCs w:val="16"/>
          <w:lang w:val="en-US"/>
        </w:rPr>
        <w:t xml:space="preserve">AERONET data for </w:t>
      </w:r>
      <w:proofErr w:type="spellStart"/>
      <w:r w:rsidRPr="00912832">
        <w:rPr>
          <w:rFonts w:ascii="Times New Roman" w:hAnsi="Times New Roman" w:cs="Times New Roman"/>
          <w:sz w:val="16"/>
          <w:szCs w:val="16"/>
          <w:lang w:val="en-US"/>
        </w:rPr>
        <w:t>Rome_Tor_Vergata</w:t>
      </w:r>
      <w:proofErr w:type="spellEnd"/>
      <w:r w:rsidRPr="00912832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912832">
        <w:rPr>
          <w:rFonts w:ascii="Times New Roman" w:hAnsi="Times New Roman" w:cs="Times New Roman"/>
          <w:sz w:val="16"/>
          <w:szCs w:val="16"/>
          <w:lang w:val="en-US"/>
        </w:rPr>
        <w:t>http://aeronet.gsfc.nasa.gov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912832" w:rsidRPr="00912832" w:rsidSect="0037047E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2E59"/>
    <w:multiLevelType w:val="hybridMultilevel"/>
    <w:tmpl w:val="C56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74F49"/>
    <w:multiLevelType w:val="hybridMultilevel"/>
    <w:tmpl w:val="CB10BC72"/>
    <w:lvl w:ilvl="0" w:tplc="57A0EE54">
      <w:start w:val="1"/>
      <w:numFmt w:val="decimal"/>
      <w:lvlText w:val="%1.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84"/>
    <w:rsid w:val="001375A5"/>
    <w:rsid w:val="00172934"/>
    <w:rsid w:val="00247873"/>
    <w:rsid w:val="00301B0D"/>
    <w:rsid w:val="0037047E"/>
    <w:rsid w:val="00687E40"/>
    <w:rsid w:val="006D6635"/>
    <w:rsid w:val="00902655"/>
    <w:rsid w:val="00912832"/>
    <w:rsid w:val="00936284"/>
    <w:rsid w:val="00990264"/>
    <w:rsid w:val="00991AA8"/>
    <w:rsid w:val="009C7CF4"/>
    <w:rsid w:val="00A60075"/>
    <w:rsid w:val="00BA0A0D"/>
    <w:rsid w:val="00C33C8E"/>
    <w:rsid w:val="00D12A43"/>
    <w:rsid w:val="00DE77E1"/>
    <w:rsid w:val="00F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AA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33C8E"/>
    <w:rPr>
      <w:color w:val="808080"/>
    </w:rPr>
  </w:style>
  <w:style w:type="character" w:styleId="a7">
    <w:name w:val="Hyperlink"/>
    <w:basedOn w:val="a0"/>
    <w:uiPriority w:val="99"/>
    <w:unhideWhenUsed/>
    <w:rsid w:val="00912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AA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33C8E"/>
    <w:rPr>
      <w:color w:val="808080"/>
    </w:rPr>
  </w:style>
  <w:style w:type="character" w:styleId="a7">
    <w:name w:val="Hyperlink"/>
    <w:basedOn w:val="a0"/>
    <w:uiPriority w:val="99"/>
    <w:unhideWhenUsed/>
    <w:rsid w:val="00912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Сперанский</cp:lastModifiedBy>
  <cp:revision>2</cp:revision>
  <dcterms:created xsi:type="dcterms:W3CDTF">2014-03-02T18:30:00Z</dcterms:created>
  <dcterms:modified xsi:type="dcterms:W3CDTF">2014-03-03T12:45:00Z</dcterms:modified>
</cp:coreProperties>
</file>