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82" w:rsidRPr="003857CE" w:rsidRDefault="005D3082" w:rsidP="005D3082">
      <w:pPr>
        <w:pStyle w:val="aa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М.Р. Лапшин,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асп</w:t>
      </w:r>
      <w:proofErr w:type="spell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.; рук. С.Т.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Лескин</w:t>
      </w:r>
      <w:proofErr w:type="spell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,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, проф.;</w:t>
      </w:r>
    </w:p>
    <w:p w:rsidR="005D3082" w:rsidRPr="003857CE" w:rsidRDefault="005D3082" w:rsidP="005D3082">
      <w:pPr>
        <w:pStyle w:val="aa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рук. А.О. Скоморохов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, проф.</w:t>
      </w:r>
    </w:p>
    <w:p w:rsidR="005D3082" w:rsidRPr="003857CE" w:rsidRDefault="005D3082" w:rsidP="005D3082">
      <w:pPr>
        <w:pStyle w:val="ab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(ИАТЭ НИЯУ МИФИ, </w:t>
      </w:r>
      <w:proofErr w:type="gramStart"/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</w:t>
      </w:r>
      <w:proofErr w:type="gramEnd"/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. Обнинск)</w:t>
      </w:r>
    </w:p>
    <w:p w:rsidR="00D63118" w:rsidRDefault="005D3082" w:rsidP="005D3082">
      <w:pPr>
        <w:pStyle w:val="aa"/>
        <w:spacing w:before="0" w:after="0" w:line="0" w:lineRule="atLeast"/>
        <w:ind w:firstLine="284"/>
        <w:rPr>
          <w:rFonts w:ascii="Times New Roman" w:hAnsi="Times New Roman" w:cs="Times New Roman"/>
          <w:color w:val="auto"/>
          <w:sz w:val="24"/>
          <w:szCs w:val="20"/>
          <w:lang w:val="ru-RU"/>
        </w:rPr>
      </w:pPr>
      <w:r w:rsidRPr="005D3082">
        <w:rPr>
          <w:rFonts w:ascii="Times New Roman" w:hAnsi="Times New Roman" w:cs="Times New Roman"/>
          <w:color w:val="auto"/>
          <w:sz w:val="24"/>
          <w:szCs w:val="20"/>
          <w:lang w:val="ru-RU"/>
        </w:rPr>
        <w:t>Диагностика состояния ГЦН Калининской АЭС по данным технологического контроля.</w:t>
      </w:r>
    </w:p>
    <w:p w:rsidR="005D3082" w:rsidRPr="005D3082" w:rsidRDefault="005D3082" w:rsidP="005D3082">
      <w:pPr>
        <w:pStyle w:val="ab"/>
        <w:spacing w:before="0" w:after="0" w:line="0" w:lineRule="atLeast"/>
        <w:rPr>
          <w:lang w:val="ru-RU"/>
        </w:rPr>
      </w:pP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Главный циркуляционный насос (ГЦН) является важной и дорогостоящей составляющей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атомной электростанции. Внезапный отказ ГЦН приводит к большим материальным затратам и 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длительному простою энергоблока, что в свою очередь ухудшает коэффициент использования мощности. В ситуации, когда удельные капиталовложения в строительство АЭС возра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тают, из-за повышения требований к безопасности, ухудшение экономических показателей АЭС м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ожет оказаться критическим в отношении конкурентоспособности на энергетическом рынке. Как показывается в работах [1,2], своевременное обнаружение аномалии в работе ГЦН и корректировка планового ремонта могла бы предотвратить внезапный отказ </w:t>
      </w:r>
      <w:r>
        <w:rPr>
          <w:rFonts w:ascii="Times New Roman" w:hAnsi="Times New Roman" w:cs="Times New Roman"/>
          <w:sz w:val="20"/>
          <w:szCs w:val="20"/>
          <w:lang w:val="ru-RU"/>
        </w:rPr>
        <w:t>ГЦН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. Аномалия н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ачинает развиваться задолго до выхода технологических параметров за </w:t>
      </w:r>
      <w:proofErr w:type="spellStart"/>
      <w:r w:rsidRPr="005D3082">
        <w:rPr>
          <w:rFonts w:ascii="Times New Roman" w:hAnsi="Times New Roman" w:cs="Times New Roman"/>
          <w:sz w:val="20"/>
          <w:szCs w:val="20"/>
          <w:lang w:val="ru-RU"/>
        </w:rPr>
        <w:t>уставки</w:t>
      </w:r>
      <w:proofErr w:type="spellEnd"/>
      <w:r w:rsidRPr="005D308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На блоках с реактором ВВЭР-1000 в первом контуре установлено 4 ГЦН, которые представляют собой сложные насосные агрегаты. </w:t>
      </w:r>
      <w:proofErr w:type="gramStart"/>
      <w:r w:rsidRPr="005D3082">
        <w:rPr>
          <w:rFonts w:ascii="Times New Roman" w:hAnsi="Times New Roman" w:cs="Times New Roman"/>
          <w:sz w:val="20"/>
          <w:szCs w:val="20"/>
          <w:lang w:val="ru-RU"/>
        </w:rPr>
        <w:t>Каждый ГЦН состоит из рабочего колеса, вала, корпуса, под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шипников, уплотнений, электродвигателя, теплообменника и т.д.</w:t>
      </w:r>
      <w:proofErr w:type="gram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Все составляющие подвержены большим нагрузкам. Помимо этого, имеются вспомогательные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системы, которые в свою очередь оказывают воздействие на работу насосов.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В настоящей работе рассматривается эт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ап первичного анализа данных (параметров технологического контроля, которые фиксируются измерительными системами), делается попытка выявления совокупных зависимостей элементов оборудования друг от друга, выявления неочевидных и скрытых тенденций развития а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номалий.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Учитываются следующие особенности эксплуатации насосов [1]:</w:t>
      </w:r>
    </w:p>
    <w:p w:rsidR="00D63118" w:rsidRPr="005D3082" w:rsidRDefault="005D3082" w:rsidP="005D3082">
      <w:pPr>
        <w:pStyle w:val="a0"/>
        <w:numPr>
          <w:ilvl w:val="0"/>
          <w:numId w:val="2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четыре ГЦН работают параллельно и в идентичных условиях;</w:t>
      </w:r>
    </w:p>
    <w:p w:rsidR="00D63118" w:rsidRPr="005D3082" w:rsidRDefault="005D3082" w:rsidP="005D3082">
      <w:pPr>
        <w:pStyle w:val="a0"/>
        <w:numPr>
          <w:ilvl w:val="0"/>
          <w:numId w:val="2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изменение состояния каждого из них во времени определяется общей причиной-поведением реакторной установки в целом, а также индивид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уальными для каждого ГЦН процессами;</w:t>
      </w:r>
    </w:p>
    <w:p w:rsidR="00D63118" w:rsidRPr="005D3082" w:rsidRDefault="005D3082" w:rsidP="005D3082">
      <w:pPr>
        <w:pStyle w:val="a0"/>
        <w:numPr>
          <w:ilvl w:val="0"/>
          <w:numId w:val="2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вероятность одновременного выхода из строя 2-х или более ГЦН значительно меньше вероятности появления одного аномального ГЦН.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Исходные данные подготовлены в виде матриц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  <m:r>
          <w:rPr>
            <w:rFonts w:ascii="Cambria Math" w:hAnsi="Times New Roman" w:cs="Times New Roman"/>
            <w:sz w:val="20"/>
            <w:szCs w:val="20"/>
            <w:lang w:val="ru-RU"/>
          </w:rPr>
          <m:t>×</m:t>
        </m:r>
        <m:r>
          <w:rPr>
            <w:rFonts w:ascii="Cambria Math" w:hAnsi="Cambria Math" w:cs="Times New Roman"/>
            <w:sz w:val="20"/>
            <w:szCs w:val="20"/>
          </w:rPr>
          <m:t>m</m:t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усредненных значений датчиков по дням для ка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ждого ГЦН.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- число дней измерений, </w:t>
      </w:r>
      <m:oMath>
        <m:r>
          <w:rPr>
            <w:rFonts w:ascii="Cambria Math" w:hAnsi="Cambria Math" w:cs="Times New Roman"/>
            <w:sz w:val="20"/>
            <w:szCs w:val="20"/>
          </w:rPr>
          <m:t>m</m:t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- число признаков (температура, вибрация, давление). Матрицы объеденены в одну матрицу, как показано на рис.1. К матрице прилагается вектор классификации </w:t>
      </w:r>
      <w:proofErr w:type="gramStart"/>
      <w:r w:rsidRPr="005D3082">
        <w:rPr>
          <w:rFonts w:ascii="Times New Roman" w:hAnsi="Times New Roman" w:cs="Times New Roman"/>
          <w:i/>
          <w:sz w:val="20"/>
          <w:szCs w:val="20"/>
          <w:lang w:val="ru-RU"/>
        </w:rPr>
        <w:t>С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Таким образом каждая строка в матрице - это состояние насо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>са представленное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вектором 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размерностью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. Вектор </w:t>
      </w:r>
      <w:r w:rsidRPr="005D3082">
        <w:rPr>
          <w:rFonts w:ascii="Times New Roman" w:hAnsi="Times New Roman" w:cs="Times New Roman"/>
          <w:i/>
          <w:sz w:val="20"/>
          <w:szCs w:val="20"/>
          <w:lang w:val="ru-RU"/>
        </w:rPr>
        <w:t>С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классифицирует строки.</w:t>
      </w:r>
    </w:p>
    <w:p w:rsidR="00D63118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66040</wp:posOffset>
            </wp:positionV>
            <wp:extent cx="1862455" cy="2089150"/>
            <wp:effectExtent l="19050" t="0" r="4445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В работе </w:t>
      </w:r>
      <w:proofErr w:type="gramStart"/>
      <w:r w:rsidRPr="005D3082">
        <w:rPr>
          <w:rFonts w:ascii="Times New Roman" w:hAnsi="Times New Roman" w:cs="Times New Roman"/>
          <w:sz w:val="20"/>
          <w:szCs w:val="20"/>
          <w:lang w:val="ru-RU"/>
        </w:rPr>
        <w:t>рассматриваются методы визуализации данных и одним из них называется</w:t>
      </w:r>
      <w:proofErr w:type="gram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"параллельными координатами". Он представляет собой построение всех векторов 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на одной плоскости как показано на рис.2. По оси абсцисс отложены признаки, по оси ординат - нормированные значения признаков. Используя параллельные координаты, можно увидеть по каким параметрам и в какой степени отличаются насосы друг от друга.</w:t>
      </w:r>
    </w:p>
    <w:p w:rsidR="005D3082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16"/>
          <w:szCs w:val="20"/>
          <w:lang w:val="ru-RU"/>
        </w:rPr>
      </w:pPr>
      <w:r w:rsidRPr="005D3082">
        <w:rPr>
          <w:rFonts w:ascii="Times New Roman" w:hAnsi="Times New Roman" w:cs="Times New Roman"/>
          <w:sz w:val="16"/>
          <w:szCs w:val="20"/>
          <w:lang w:val="ru-RU"/>
        </w:rPr>
        <w:t>Рис.1 - Исходная матрица</w:t>
      </w:r>
    </w:p>
    <w:p w:rsidR="005D3082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63118" w:rsidRPr="005D3082" w:rsidRDefault="005D3082" w:rsidP="005D3082">
      <w:pPr>
        <w:pStyle w:val="a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D3082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900799" cy="2155371"/>
            <wp:effectExtent l="19050" t="0" r="4451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76" cy="215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16"/>
          <w:szCs w:val="20"/>
          <w:lang w:val="ru-RU"/>
        </w:rPr>
      </w:pPr>
      <w:r w:rsidRPr="005D3082">
        <w:rPr>
          <w:rFonts w:ascii="Times New Roman" w:hAnsi="Times New Roman" w:cs="Times New Roman"/>
          <w:sz w:val="16"/>
          <w:szCs w:val="20"/>
          <w:lang w:val="ru-RU"/>
        </w:rPr>
        <w:t xml:space="preserve">Рис.2 - </w:t>
      </w:r>
      <w:r w:rsidRPr="005D3082">
        <w:rPr>
          <w:rFonts w:ascii="Times New Roman" w:hAnsi="Times New Roman" w:cs="Times New Roman"/>
          <w:sz w:val="16"/>
          <w:szCs w:val="20"/>
          <w:lang w:val="ru-RU"/>
        </w:rPr>
        <w:t>Пара</w:t>
      </w:r>
      <w:r w:rsidRPr="005D3082">
        <w:rPr>
          <w:rFonts w:ascii="Times New Roman" w:hAnsi="Times New Roman" w:cs="Times New Roman"/>
          <w:sz w:val="16"/>
          <w:szCs w:val="20"/>
          <w:lang w:val="ru-RU"/>
        </w:rPr>
        <w:t>ллельные координаты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-мерное пространство невозможно представить и визуализировать без каких-либо дополнительных действий. В работе к 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данным применены два метода линейного преобразования </w:t>
      </w:r>
      <m:oMath>
        <m:r>
          <w:rPr>
            <w:rFonts w:ascii="Cambria Math" w:hAnsi="Cambria Math" w:cs="Times New Roman"/>
            <w:sz w:val="20"/>
            <w:szCs w:val="20"/>
          </w:rPr>
          <m:t/>
        </m:r>
        <w:proofErr w:type="gramStart"/>
        <m:r>
          <w:rPr>
            <w:rFonts w:ascii="Cambria Math" w:hAnsi="Cambria Math" w:cs="Times New Roman"/>
            <w:sz w:val="20"/>
            <w:szCs w:val="20"/>
          </w:rPr>
          <m:t/>
        </m:r>
      </m:oMath>
      <w:r w:rsidRPr="005D3082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gram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мерного пространства в двумерное. Метод </w:t>
      </w:r>
      <w:proofErr w:type="gramStart"/>
      <w:r w:rsidRPr="005D3082">
        <w:rPr>
          <w:rFonts w:ascii="Times New Roman" w:hAnsi="Times New Roman" w:cs="Times New Roman"/>
          <w:sz w:val="20"/>
          <w:szCs w:val="20"/>
          <w:lang w:val="ru-RU"/>
        </w:rPr>
        <w:t>линейного</w:t>
      </w:r>
      <w:proofErr w:type="gram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шкалирования Ор</w:t>
      </w:r>
      <w:proofErr w:type="spellStart"/>
      <w:r w:rsidRPr="005D3082">
        <w:rPr>
          <w:rFonts w:ascii="Times New Roman" w:hAnsi="Times New Roman" w:cs="Times New Roman"/>
          <w:sz w:val="20"/>
          <w:szCs w:val="20"/>
          <w:lang w:val="ru-RU"/>
        </w:rPr>
        <w:t>лочи</w:t>
      </w:r>
      <w:proofErr w:type="spell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и метод главных компонент. Оба метода дают практически одинаковые результаты и представлены на рис.3.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3082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291860" cy="1724924"/>
            <wp:effectExtent l="19050" t="0" r="379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65" cy="17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16"/>
          <w:szCs w:val="20"/>
          <w:lang w:val="ru-RU"/>
        </w:rPr>
      </w:pPr>
      <w:r w:rsidRPr="005D3082">
        <w:rPr>
          <w:rFonts w:ascii="Times New Roman" w:hAnsi="Times New Roman" w:cs="Times New Roman"/>
          <w:sz w:val="16"/>
          <w:szCs w:val="20"/>
          <w:lang w:val="ru-RU"/>
        </w:rPr>
        <w:t xml:space="preserve">Рис.3 - </w:t>
      </w:r>
      <w:r w:rsidRPr="005D3082">
        <w:rPr>
          <w:rFonts w:ascii="Times New Roman" w:hAnsi="Times New Roman" w:cs="Times New Roman"/>
          <w:sz w:val="16"/>
          <w:szCs w:val="20"/>
          <w:lang w:val="ru-RU"/>
        </w:rPr>
        <w:t>Метод главных компонент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Как видно, состояние 3-го ГЦН значительно отличается от трех других. Интерпретация такого поведения - это дальнейшая задача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проводимой диагностики, которая может потребовать предыстории работы насоса.</w:t>
      </w:r>
    </w:p>
    <w:p w:rsidR="00D63118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082">
        <w:rPr>
          <w:rFonts w:ascii="Times New Roman" w:hAnsi="Times New Roman" w:cs="Times New Roman"/>
          <w:sz w:val="20"/>
          <w:szCs w:val="20"/>
          <w:lang w:val="ru-RU"/>
        </w:rPr>
        <w:t>Так же в работе представлен метод иерархических деревьев классификации, которые позволяют получить набор правил, по которым можно разделить насосы на классы.</w:t>
      </w:r>
    </w:p>
    <w:p w:rsidR="00D63118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D3082">
        <w:rPr>
          <w:rFonts w:ascii="Times New Roman" w:hAnsi="Times New Roman" w:cs="Times New Roman"/>
          <w:sz w:val="20"/>
          <w:szCs w:val="20"/>
          <w:lang w:val="ru-RU"/>
        </w:rPr>
        <w:t>Настоящая работа пок</w:t>
      </w:r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азывает как методы "тонкой" диагностики могут помочь разглядеть за выбросами, шумами и большой размерностью пространства тенденции развития аномалий на ранней стадии, без априорной информации об аномальных </w:t>
      </w:r>
      <w:proofErr w:type="spellStart"/>
      <w:r w:rsidRPr="005D3082">
        <w:rPr>
          <w:rFonts w:ascii="Times New Roman" w:hAnsi="Times New Roman" w:cs="Times New Roman"/>
          <w:sz w:val="20"/>
          <w:szCs w:val="20"/>
          <w:lang w:val="ru-RU"/>
        </w:rPr>
        <w:t>состояних</w:t>
      </w:r>
      <w:proofErr w:type="spellEnd"/>
      <w:r w:rsidRPr="005D3082">
        <w:rPr>
          <w:rFonts w:ascii="Times New Roman" w:hAnsi="Times New Roman" w:cs="Times New Roman"/>
          <w:sz w:val="20"/>
          <w:szCs w:val="20"/>
          <w:lang w:val="ru-RU"/>
        </w:rPr>
        <w:t xml:space="preserve"> работы ГЦН.</w:t>
      </w:r>
      <w:proofErr w:type="gramEnd"/>
    </w:p>
    <w:p w:rsidR="005D3082" w:rsidRPr="005D3082" w:rsidRDefault="005D3082" w:rsidP="005D3082">
      <w:pPr>
        <w:pStyle w:val="a0"/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3082" w:rsidRDefault="005D3082" w:rsidP="005D3082">
      <w:pPr>
        <w:pStyle w:val="1"/>
        <w:numPr>
          <w:ilvl w:val="0"/>
          <w:numId w:val="4"/>
        </w:numPr>
        <w:spacing w:before="0" w:line="240" w:lineRule="auto"/>
        <w:ind w:left="0" w:firstLine="283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bookmarkStart w:id="0" w:name="литература"/>
      <w:bookmarkEnd w:id="0"/>
      <w:proofErr w:type="spellStart"/>
      <w:r>
        <w:rPr>
          <w:rFonts w:ascii="Times New Roman" w:hAnsi="Times New Roman"/>
          <w:color w:val="000000"/>
          <w:sz w:val="16"/>
          <w:szCs w:val="16"/>
        </w:rPr>
        <w:t>Библиографический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список</w:t>
      </w:r>
      <w:proofErr w:type="spellEnd"/>
    </w:p>
    <w:p w:rsidR="005D3082" w:rsidRPr="005D3082" w:rsidRDefault="005D3082" w:rsidP="005D3082">
      <w:pPr>
        <w:pStyle w:val="a1"/>
        <w:spacing w:after="0"/>
        <w:rPr>
          <w:sz w:val="16"/>
          <w:lang w:val="ru-RU"/>
        </w:rPr>
      </w:pPr>
    </w:p>
    <w:p w:rsidR="00D63118" w:rsidRPr="005D3082" w:rsidRDefault="005D3082" w:rsidP="005D3082">
      <w:pPr>
        <w:pStyle w:val="a0"/>
        <w:numPr>
          <w:ilvl w:val="0"/>
          <w:numId w:val="3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5D3082">
        <w:rPr>
          <w:rFonts w:ascii="Times New Roman" w:hAnsi="Times New Roman" w:cs="Times New Roman"/>
          <w:sz w:val="16"/>
          <w:szCs w:val="16"/>
          <w:lang w:val="ru-RU"/>
        </w:rPr>
        <w:t>Зарюгин</w:t>
      </w:r>
      <w:proofErr w:type="spellEnd"/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 Д.Г. Разр</w:t>
      </w:r>
      <w:r w:rsidRPr="005D3082">
        <w:rPr>
          <w:rFonts w:ascii="Times New Roman" w:hAnsi="Times New Roman" w:cs="Times New Roman"/>
          <w:sz w:val="16"/>
          <w:szCs w:val="16"/>
          <w:lang w:val="ru-RU"/>
        </w:rPr>
        <w:t>аботка алгоритмов диагностики состояния ГЦН АЭС с ВВЭР-1000 по данным оперативного технологического контроля. Обнинск. 2001.</w:t>
      </w:r>
    </w:p>
    <w:p w:rsidR="00D63118" w:rsidRPr="005D3082" w:rsidRDefault="005D3082" w:rsidP="005D3082">
      <w:pPr>
        <w:pStyle w:val="a0"/>
        <w:numPr>
          <w:ilvl w:val="0"/>
          <w:numId w:val="3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D3082">
        <w:rPr>
          <w:rFonts w:ascii="Times New Roman" w:hAnsi="Times New Roman" w:cs="Times New Roman"/>
          <w:sz w:val="16"/>
          <w:szCs w:val="16"/>
          <w:lang w:val="ru-RU"/>
        </w:rPr>
        <w:t>Мынцов</w:t>
      </w:r>
      <w:proofErr w:type="spellEnd"/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 А.А. Разработка и обоснование системы </w:t>
      </w:r>
      <w:proofErr w:type="spellStart"/>
      <w:r w:rsidRPr="005D3082">
        <w:rPr>
          <w:rFonts w:ascii="Times New Roman" w:hAnsi="Times New Roman" w:cs="Times New Roman"/>
          <w:sz w:val="16"/>
          <w:szCs w:val="16"/>
          <w:lang w:val="ru-RU"/>
        </w:rPr>
        <w:t>виброакустического</w:t>
      </w:r>
      <w:proofErr w:type="spellEnd"/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 диагностирования насосных агрегатов ЯЭУ. </w:t>
      </w:r>
      <w:proofErr w:type="spellStart"/>
      <w:r w:rsidRPr="005D3082">
        <w:rPr>
          <w:rFonts w:ascii="Times New Roman" w:hAnsi="Times New Roman" w:cs="Times New Roman"/>
          <w:sz w:val="16"/>
          <w:szCs w:val="16"/>
        </w:rPr>
        <w:t>Димитровград</w:t>
      </w:r>
      <w:proofErr w:type="spellEnd"/>
      <w:r w:rsidRPr="005D3082">
        <w:rPr>
          <w:rFonts w:ascii="Times New Roman" w:hAnsi="Times New Roman" w:cs="Times New Roman"/>
          <w:sz w:val="16"/>
          <w:szCs w:val="16"/>
        </w:rPr>
        <w:t>. 200.</w:t>
      </w:r>
    </w:p>
    <w:p w:rsidR="00D63118" w:rsidRPr="005D3082" w:rsidRDefault="005D3082" w:rsidP="005D3082">
      <w:pPr>
        <w:pStyle w:val="a0"/>
        <w:numPr>
          <w:ilvl w:val="0"/>
          <w:numId w:val="3"/>
        </w:numPr>
        <w:spacing w:after="0" w:line="0" w:lineRule="atLeast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D3082">
        <w:rPr>
          <w:rFonts w:ascii="Times New Roman" w:hAnsi="Times New Roman" w:cs="Times New Roman"/>
          <w:sz w:val="16"/>
          <w:szCs w:val="16"/>
          <w:lang w:val="ru-RU"/>
        </w:rPr>
        <w:t>Вапник</w:t>
      </w:r>
      <w:proofErr w:type="spellEnd"/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В.Н., </w:t>
      </w:r>
      <w:proofErr w:type="spellStart"/>
      <w:r w:rsidRPr="005D3082">
        <w:rPr>
          <w:rFonts w:ascii="Times New Roman" w:hAnsi="Times New Roman" w:cs="Times New Roman"/>
          <w:sz w:val="16"/>
          <w:szCs w:val="16"/>
          <w:lang w:val="ru-RU"/>
        </w:rPr>
        <w:t>Червоненкис</w:t>
      </w:r>
      <w:proofErr w:type="spellEnd"/>
      <w:r w:rsidRPr="005D3082">
        <w:rPr>
          <w:rFonts w:ascii="Times New Roman" w:hAnsi="Times New Roman" w:cs="Times New Roman"/>
          <w:sz w:val="16"/>
          <w:szCs w:val="16"/>
          <w:lang w:val="ru-RU"/>
        </w:rPr>
        <w:t xml:space="preserve"> А.Я. Теория распознавания образов (статистические проблемы обучения). </w:t>
      </w:r>
      <w:proofErr w:type="spellStart"/>
      <w:r w:rsidRPr="005D3082">
        <w:rPr>
          <w:rFonts w:ascii="Times New Roman" w:hAnsi="Times New Roman" w:cs="Times New Roman"/>
          <w:sz w:val="16"/>
          <w:szCs w:val="16"/>
        </w:rPr>
        <w:t>Издательство</w:t>
      </w:r>
      <w:proofErr w:type="spellEnd"/>
      <w:r w:rsidRPr="005D3082">
        <w:rPr>
          <w:rFonts w:ascii="Times New Roman" w:hAnsi="Times New Roman" w:cs="Times New Roman"/>
          <w:sz w:val="16"/>
          <w:szCs w:val="16"/>
        </w:rPr>
        <w:t xml:space="preserve"> "</w:t>
      </w:r>
      <w:proofErr w:type="spellStart"/>
      <w:r w:rsidRPr="005D3082">
        <w:rPr>
          <w:rFonts w:ascii="Times New Roman" w:hAnsi="Times New Roman" w:cs="Times New Roman"/>
          <w:sz w:val="16"/>
          <w:szCs w:val="16"/>
        </w:rPr>
        <w:t>Наука</w:t>
      </w:r>
      <w:proofErr w:type="spellEnd"/>
      <w:r w:rsidRPr="005D3082">
        <w:rPr>
          <w:rFonts w:ascii="Times New Roman" w:hAnsi="Times New Roman" w:cs="Times New Roman"/>
          <w:sz w:val="16"/>
          <w:szCs w:val="16"/>
        </w:rPr>
        <w:t xml:space="preserve">". </w:t>
      </w:r>
      <w:proofErr w:type="gramStart"/>
      <w:r w:rsidRPr="005D3082">
        <w:rPr>
          <w:rFonts w:ascii="Times New Roman" w:hAnsi="Times New Roman" w:cs="Times New Roman"/>
          <w:sz w:val="16"/>
          <w:szCs w:val="16"/>
        </w:rPr>
        <w:t>М.,</w:t>
      </w:r>
      <w:proofErr w:type="gramEnd"/>
      <w:r w:rsidRPr="005D3082">
        <w:rPr>
          <w:rFonts w:ascii="Times New Roman" w:hAnsi="Times New Roman" w:cs="Times New Roman"/>
          <w:sz w:val="16"/>
          <w:szCs w:val="16"/>
        </w:rPr>
        <w:t xml:space="preserve"> 1974.</w:t>
      </w:r>
    </w:p>
    <w:sectPr w:rsidR="00D63118" w:rsidRPr="005D3082" w:rsidSect="005D3082">
      <w:pgSz w:w="8391" w:h="11907" w:code="11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738"/>
    <w:multiLevelType w:val="multilevel"/>
    <w:tmpl w:val="CD526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6F2710"/>
    <w:multiLevelType w:val="multilevel"/>
    <w:tmpl w:val="790636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5C3DE3"/>
    <w:multiLevelType w:val="multilevel"/>
    <w:tmpl w:val="BC2428C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200" w:hanging="480"/>
      </w:pPr>
      <w:rPr>
        <w:rFonts w:ascii="OpenSymbol" w:hAnsi="OpenSymbol" w:cs="OpenSymbol" w:hint="default"/>
      </w:rPr>
    </w:lvl>
    <w:lvl w:ilvl="2">
      <w:start w:val="1"/>
      <w:numFmt w:val="bullet"/>
      <w:lvlText w:val="‣"/>
      <w:lvlJc w:val="left"/>
      <w:pPr>
        <w:tabs>
          <w:tab w:val="num" w:pos="1440"/>
        </w:tabs>
        <w:ind w:left="1920" w:hanging="480"/>
      </w:pPr>
      <w:rPr>
        <w:rFonts w:ascii="OpenSymbol" w:hAnsi="OpenSymbol" w:cs="OpenSymbol" w:hint="default"/>
      </w:rPr>
    </w:lvl>
    <w:lvl w:ilvl="3">
      <w:start w:val="1"/>
      <w:numFmt w:val="bullet"/>
      <w:lvlText w:val="⁃"/>
      <w:lvlJc w:val="left"/>
      <w:pPr>
        <w:tabs>
          <w:tab w:val="num" w:pos="2160"/>
        </w:tabs>
        <w:ind w:left="2640" w:hanging="480"/>
      </w:pPr>
      <w:rPr>
        <w:rFonts w:ascii="OpenSymbol" w:hAnsi="Open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◦"/>
      <w:lvlJc w:val="left"/>
      <w:pPr>
        <w:tabs>
          <w:tab w:val="num" w:pos="3600"/>
        </w:tabs>
        <w:ind w:left="4080" w:hanging="480"/>
      </w:pPr>
      <w:rPr>
        <w:rFonts w:ascii="OpenSymbol" w:hAnsi="OpenSymbol" w:cs="OpenSymbol" w:hint="default"/>
      </w:rPr>
    </w:lvl>
    <w:lvl w:ilvl="6">
      <w:start w:val="1"/>
      <w:numFmt w:val="bullet"/>
      <w:lvlText w:val="‣"/>
      <w:lvlJc w:val="left"/>
      <w:pPr>
        <w:tabs>
          <w:tab w:val="num" w:pos="4320"/>
        </w:tabs>
        <w:ind w:left="4800" w:hanging="48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B545F7"/>
    <w:multiLevelType w:val="multilevel"/>
    <w:tmpl w:val="B0F65D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118"/>
    <w:rsid w:val="005D3082"/>
    <w:rsid w:val="00D6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D63118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6"/>
      <w:szCs w:val="36"/>
    </w:rPr>
  </w:style>
  <w:style w:type="paragraph" w:styleId="2">
    <w:name w:val="heading 2"/>
    <w:basedOn w:val="a0"/>
    <w:next w:val="a1"/>
    <w:rsid w:val="00D63118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libri" w:hAnsi="Calibri"/>
      <w:b/>
      <w:bCs/>
      <w:color w:val="4F81BD"/>
      <w:sz w:val="32"/>
      <w:szCs w:val="32"/>
    </w:rPr>
  </w:style>
  <w:style w:type="paragraph" w:styleId="3">
    <w:name w:val="heading 3"/>
    <w:basedOn w:val="a0"/>
    <w:next w:val="a1"/>
    <w:rsid w:val="00D63118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libri" w:hAnsi="Calibri"/>
      <w:b/>
      <w:bCs/>
      <w:color w:val="4F81BD"/>
      <w:sz w:val="28"/>
      <w:szCs w:val="28"/>
    </w:rPr>
  </w:style>
  <w:style w:type="paragraph" w:styleId="4">
    <w:name w:val="heading 4"/>
    <w:basedOn w:val="a0"/>
    <w:next w:val="a1"/>
    <w:rsid w:val="00D63118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libri" w:hAnsi="Calibri"/>
      <w:b/>
      <w:bCs/>
      <w:color w:val="4F81BD"/>
    </w:rPr>
  </w:style>
  <w:style w:type="paragraph" w:styleId="5">
    <w:name w:val="heading 5"/>
    <w:basedOn w:val="a0"/>
    <w:next w:val="a1"/>
    <w:rsid w:val="00D63118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libri" w:hAnsi="Calibri"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63118"/>
    <w:pPr>
      <w:tabs>
        <w:tab w:val="left" w:pos="720"/>
      </w:tabs>
      <w:suppressAutoHyphens/>
    </w:pPr>
    <w:rPr>
      <w:rFonts w:ascii="Cambria" w:eastAsia="WenQuanYi Micro Hei" w:hAnsi="Cambria" w:cs="Cambria"/>
      <w:sz w:val="24"/>
      <w:szCs w:val="24"/>
      <w:lang w:val="en-US" w:eastAsia="en-US"/>
    </w:rPr>
  </w:style>
  <w:style w:type="character" w:customStyle="1" w:styleId="BodyTextChar">
    <w:name w:val="Body Text Char"/>
    <w:basedOn w:val="a2"/>
    <w:rsid w:val="00D63118"/>
  </w:style>
  <w:style w:type="character" w:customStyle="1" w:styleId="VerbatimChar">
    <w:name w:val="Verbatim Char"/>
    <w:basedOn w:val="BodyTextChar"/>
    <w:rsid w:val="00D63118"/>
    <w:rPr>
      <w:rFonts w:ascii="Consolas" w:hAnsi="Consolas"/>
      <w:sz w:val="22"/>
    </w:rPr>
  </w:style>
  <w:style w:type="character" w:customStyle="1" w:styleId="a5">
    <w:name w:val="Привязка сноски"/>
    <w:basedOn w:val="BodyTextChar"/>
    <w:rsid w:val="00D63118"/>
    <w:rPr>
      <w:vertAlign w:val="superscript"/>
    </w:rPr>
  </w:style>
  <w:style w:type="character" w:customStyle="1" w:styleId="-">
    <w:name w:val="Интернет-ссылка"/>
    <w:basedOn w:val="BodyTextChar"/>
    <w:rsid w:val="00D63118"/>
    <w:rPr>
      <w:color w:val="4F81BD"/>
      <w:u w:val="single"/>
      <w:lang w:val="ru-RU" w:eastAsia="ru-RU" w:bidi="ru-RU"/>
    </w:rPr>
  </w:style>
  <w:style w:type="character" w:customStyle="1" w:styleId="KeywordTok">
    <w:name w:val="KeywordTok"/>
    <w:basedOn w:val="VerbatimChar"/>
    <w:rsid w:val="00D63118"/>
    <w:rPr>
      <w:b/>
      <w:color w:val="007020"/>
    </w:rPr>
  </w:style>
  <w:style w:type="character" w:customStyle="1" w:styleId="DataTypeTok">
    <w:name w:val="DataTypeTok"/>
    <w:basedOn w:val="VerbatimChar"/>
    <w:rsid w:val="00D63118"/>
    <w:rPr>
      <w:color w:val="902000"/>
    </w:rPr>
  </w:style>
  <w:style w:type="character" w:customStyle="1" w:styleId="DecValTok">
    <w:name w:val="DecValTok"/>
    <w:basedOn w:val="VerbatimChar"/>
    <w:rsid w:val="00D63118"/>
    <w:rPr>
      <w:color w:val="40A070"/>
    </w:rPr>
  </w:style>
  <w:style w:type="character" w:customStyle="1" w:styleId="BaseNTok">
    <w:name w:val="BaseNTok"/>
    <w:basedOn w:val="VerbatimChar"/>
    <w:rsid w:val="00D63118"/>
    <w:rPr>
      <w:color w:val="40A070"/>
    </w:rPr>
  </w:style>
  <w:style w:type="character" w:customStyle="1" w:styleId="FloatTok">
    <w:name w:val="FloatTok"/>
    <w:basedOn w:val="VerbatimChar"/>
    <w:rsid w:val="00D63118"/>
    <w:rPr>
      <w:color w:val="40A070"/>
    </w:rPr>
  </w:style>
  <w:style w:type="character" w:customStyle="1" w:styleId="CharTok">
    <w:name w:val="CharTok"/>
    <w:basedOn w:val="VerbatimChar"/>
    <w:rsid w:val="00D63118"/>
    <w:rPr>
      <w:color w:val="4070A0"/>
    </w:rPr>
  </w:style>
  <w:style w:type="character" w:customStyle="1" w:styleId="StringTok">
    <w:name w:val="StringTok"/>
    <w:basedOn w:val="VerbatimChar"/>
    <w:rsid w:val="00D63118"/>
    <w:rPr>
      <w:color w:val="4070A0"/>
    </w:rPr>
  </w:style>
  <w:style w:type="character" w:customStyle="1" w:styleId="CommentTok">
    <w:name w:val="CommentTok"/>
    <w:basedOn w:val="VerbatimChar"/>
    <w:rsid w:val="00D63118"/>
    <w:rPr>
      <w:i/>
      <w:color w:val="60A0B0"/>
    </w:rPr>
  </w:style>
  <w:style w:type="character" w:customStyle="1" w:styleId="OtherTok">
    <w:name w:val="OtherTok"/>
    <w:basedOn w:val="VerbatimChar"/>
    <w:rsid w:val="00D63118"/>
    <w:rPr>
      <w:color w:val="007020"/>
    </w:rPr>
  </w:style>
  <w:style w:type="character" w:customStyle="1" w:styleId="AlertTok">
    <w:name w:val="AlertTok"/>
    <w:basedOn w:val="VerbatimChar"/>
    <w:rsid w:val="00D63118"/>
    <w:rPr>
      <w:b/>
      <w:color w:val="FF0000"/>
    </w:rPr>
  </w:style>
  <w:style w:type="character" w:customStyle="1" w:styleId="FunctionTok">
    <w:name w:val="FunctionTok"/>
    <w:basedOn w:val="VerbatimChar"/>
    <w:rsid w:val="00D63118"/>
    <w:rPr>
      <w:color w:val="06287E"/>
    </w:rPr>
  </w:style>
  <w:style w:type="character" w:customStyle="1" w:styleId="RegionMarkerTok">
    <w:name w:val="RegionMarkerTok"/>
    <w:basedOn w:val="VerbatimChar"/>
    <w:rsid w:val="00D63118"/>
  </w:style>
  <w:style w:type="character" w:customStyle="1" w:styleId="ErrorTok">
    <w:name w:val="ErrorTok"/>
    <w:basedOn w:val="VerbatimChar"/>
    <w:rsid w:val="00D63118"/>
    <w:rPr>
      <w:b/>
      <w:color w:val="FF0000"/>
    </w:rPr>
  </w:style>
  <w:style w:type="character" w:customStyle="1" w:styleId="NormalTok">
    <w:name w:val="NormalTok"/>
    <w:basedOn w:val="VerbatimChar"/>
    <w:rsid w:val="00D63118"/>
  </w:style>
  <w:style w:type="paragraph" w:customStyle="1" w:styleId="a6">
    <w:name w:val="Заголовок"/>
    <w:basedOn w:val="a0"/>
    <w:next w:val="a1"/>
    <w:rsid w:val="00D6311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D63118"/>
    <w:pPr>
      <w:spacing w:after="120"/>
    </w:pPr>
  </w:style>
  <w:style w:type="paragraph" w:styleId="a7">
    <w:name w:val="List"/>
    <w:basedOn w:val="a1"/>
    <w:rsid w:val="00D63118"/>
    <w:rPr>
      <w:rFonts w:cs="Lohit Hindi"/>
    </w:rPr>
  </w:style>
  <w:style w:type="paragraph" w:styleId="a8">
    <w:name w:val="Title"/>
    <w:basedOn w:val="a0"/>
    <w:rsid w:val="00D63118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D63118"/>
    <w:pPr>
      <w:suppressLineNumbers/>
    </w:pPr>
    <w:rPr>
      <w:rFonts w:cs="Lohit Hindi"/>
    </w:rPr>
  </w:style>
  <w:style w:type="paragraph" w:customStyle="1" w:styleId="aa">
    <w:name w:val="Заглавие"/>
    <w:basedOn w:val="a0"/>
    <w:next w:val="ab"/>
    <w:rsid w:val="00D63118"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</w:rPr>
  </w:style>
  <w:style w:type="paragraph" w:styleId="ab">
    <w:name w:val="Subtitle"/>
    <w:basedOn w:val="a6"/>
    <w:next w:val="a1"/>
    <w:rsid w:val="00D63118"/>
    <w:pPr>
      <w:jc w:val="center"/>
    </w:pPr>
    <w:rPr>
      <w:i/>
      <w:iCs/>
    </w:rPr>
  </w:style>
  <w:style w:type="paragraph" w:customStyle="1" w:styleId="Authors">
    <w:name w:val="Authors"/>
    <w:rsid w:val="00D63118"/>
    <w:pPr>
      <w:keepNext/>
      <w:keepLines/>
      <w:tabs>
        <w:tab w:val="left" w:pos="720"/>
      </w:tabs>
      <w:suppressAutoHyphens/>
      <w:jc w:val="center"/>
    </w:pPr>
    <w:rPr>
      <w:rFonts w:ascii="Cambria" w:eastAsia="WenQuanYi Micro Hei" w:hAnsi="Cambria" w:cs="Cambria"/>
      <w:sz w:val="24"/>
      <w:szCs w:val="24"/>
      <w:lang w:val="en-US" w:eastAsia="en-US"/>
    </w:rPr>
  </w:style>
  <w:style w:type="paragraph" w:styleId="ac">
    <w:name w:val="Date"/>
    <w:rsid w:val="00D63118"/>
    <w:pPr>
      <w:keepNext/>
      <w:keepLines/>
      <w:tabs>
        <w:tab w:val="left" w:pos="720"/>
      </w:tabs>
      <w:suppressAutoHyphens/>
      <w:jc w:val="center"/>
    </w:pPr>
    <w:rPr>
      <w:rFonts w:ascii="Cambria" w:eastAsia="WenQuanYi Micro Hei" w:hAnsi="Cambria" w:cs="Cambria"/>
      <w:sz w:val="24"/>
      <w:szCs w:val="24"/>
      <w:lang w:val="en-US" w:eastAsia="en-US"/>
    </w:rPr>
  </w:style>
  <w:style w:type="paragraph" w:customStyle="1" w:styleId="BlockQuote">
    <w:name w:val="Block Quote"/>
    <w:basedOn w:val="a0"/>
    <w:rsid w:val="00D63118"/>
    <w:pPr>
      <w:spacing w:before="100" w:after="100"/>
    </w:pPr>
    <w:rPr>
      <w:rFonts w:ascii="Calibri" w:hAnsi="Calibri"/>
      <w:bCs/>
      <w:sz w:val="20"/>
      <w:szCs w:val="20"/>
    </w:rPr>
  </w:style>
  <w:style w:type="paragraph" w:customStyle="1" w:styleId="DefinitionTerm">
    <w:name w:val="Definition Term"/>
    <w:basedOn w:val="a0"/>
    <w:rsid w:val="00D6311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0"/>
    <w:rsid w:val="00D63118"/>
  </w:style>
  <w:style w:type="paragraph" w:customStyle="1" w:styleId="TableCaption">
    <w:name w:val="Table Caption"/>
    <w:basedOn w:val="a0"/>
    <w:rsid w:val="00D63118"/>
    <w:pPr>
      <w:spacing w:after="120"/>
    </w:pPr>
    <w:rPr>
      <w:i/>
    </w:rPr>
  </w:style>
  <w:style w:type="paragraph" w:customStyle="1" w:styleId="PictureCaption">
    <w:name w:val="Picture Caption"/>
    <w:basedOn w:val="a0"/>
    <w:rsid w:val="00D63118"/>
    <w:pPr>
      <w:spacing w:after="120"/>
    </w:pPr>
    <w:rPr>
      <w:i/>
    </w:rPr>
  </w:style>
  <w:style w:type="paragraph" w:customStyle="1" w:styleId="SourceCode">
    <w:name w:val="Source Code"/>
    <w:basedOn w:val="a0"/>
    <w:rsid w:val="00D63118"/>
  </w:style>
  <w:style w:type="paragraph" w:styleId="ad">
    <w:name w:val="Balloon Text"/>
    <w:basedOn w:val="a"/>
    <w:link w:val="ae"/>
    <w:uiPriority w:val="99"/>
    <w:semiHidden/>
    <w:unhideWhenUsed/>
    <w:rsid w:val="005D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5D3082"/>
    <w:rPr>
      <w:rFonts w:ascii="Tahoma" w:hAnsi="Tahoma" w:cs="Tahoma"/>
      <w:sz w:val="16"/>
      <w:szCs w:val="16"/>
    </w:rPr>
  </w:style>
  <w:style w:type="character" w:styleId="af">
    <w:name w:val="Placeholder Text"/>
    <w:basedOn w:val="a2"/>
    <w:uiPriority w:val="99"/>
    <w:semiHidden/>
    <w:rsid w:val="005D30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652</Words>
  <Characters>3718</Characters>
  <Application>Microsoft Office Word</Application>
  <DocSecurity>0</DocSecurity>
  <Lines>30</Lines>
  <Paragraphs>8</Paragraphs>
  <ScaleCrop>false</ScaleCrop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состояния ГЦН Калининской АЭС по данным технологического контроля.</dc:title>
  <cp:lastModifiedBy>admin</cp:lastModifiedBy>
  <cp:revision>1</cp:revision>
  <dcterms:created xsi:type="dcterms:W3CDTF">2014-03-06T13:12:00Z</dcterms:created>
  <dcterms:modified xsi:type="dcterms:W3CDTF">2014-03-06T13:22:00Z</dcterms:modified>
</cp:coreProperties>
</file>