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04" w:rsidRDefault="00F4112A">
      <w:r>
        <w:t>ПОЛОЖЕНИЕ</w:t>
      </w:r>
    </w:p>
    <w:p w:rsidR="00F4112A" w:rsidRDefault="00F4112A">
      <w:r>
        <w:t xml:space="preserve">О дискуссионном клубе «Вызовы </w:t>
      </w:r>
      <w:r>
        <w:rPr>
          <w:lang w:val="en-US"/>
        </w:rPr>
        <w:t>XXI</w:t>
      </w:r>
      <w:r w:rsidRPr="00F4112A">
        <w:t xml:space="preserve"> </w:t>
      </w:r>
      <w:r>
        <w:t>века» (далее ДК), который пройдет 27 апреля 2017 года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 xml:space="preserve">ДК проводится с целью повышения интереса молодежи к изучению английского языка, повышения осведомленности о насущных проблемах современного общества, </w:t>
      </w:r>
      <w:proofErr w:type="gramStart"/>
      <w:r>
        <w:t>политики,  международных</w:t>
      </w:r>
      <w:proofErr w:type="gramEnd"/>
      <w:r>
        <w:t xml:space="preserve"> отношений, с целью развития навыков студентов публичного выступления и ведения дискуссии в рамках парламентской процедуры и  норм этикета;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>Рабочий язык ДК – английский;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 xml:space="preserve">Участники представляют не свою точку зрения, а точку зрения стран-участниц Организации Объединенных наций. В этой связи за три недели до начала ДК участникам необходимо зарегистрироваться и получить повестку дня (Приложение 1) и название страны, которую он(а) будет представлять. Адрес регистрации и коммуникации </w:t>
      </w:r>
      <w:hyperlink r:id="rId5" w:history="1">
        <w:r w:rsidRPr="0081193E">
          <w:rPr>
            <w:rStyle w:val="a4"/>
            <w:lang w:val="en-US"/>
          </w:rPr>
          <w:t>ttaganova</w:t>
        </w:r>
        <w:r w:rsidRPr="00F4112A">
          <w:rPr>
            <w:rStyle w:val="a4"/>
          </w:rPr>
          <w:t>@</w:t>
        </w:r>
        <w:r w:rsidRPr="0081193E">
          <w:rPr>
            <w:rStyle w:val="a4"/>
            <w:lang w:val="en-US"/>
          </w:rPr>
          <w:t>mail</w:t>
        </w:r>
        <w:r w:rsidRPr="00F4112A">
          <w:rPr>
            <w:rStyle w:val="a4"/>
          </w:rPr>
          <w:t>.</w:t>
        </w:r>
        <w:proofErr w:type="spellStart"/>
        <w:r w:rsidRPr="0081193E">
          <w:rPr>
            <w:rStyle w:val="a4"/>
            <w:lang w:val="en-US"/>
          </w:rPr>
          <w:t>ru</w:t>
        </w:r>
        <w:proofErr w:type="spellEnd"/>
      </w:hyperlink>
      <w:r>
        <w:t>, контактное лицо –</w:t>
      </w:r>
      <w:proofErr w:type="spellStart"/>
      <w:r>
        <w:t>Таганова</w:t>
      </w:r>
      <w:proofErr w:type="spellEnd"/>
      <w:r>
        <w:t xml:space="preserve"> Татьяна Александровна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 xml:space="preserve">Участникам ДК необходимо изучить вопросы повестки дня с точки зрения представляемой страны, а также </w:t>
      </w:r>
      <w:proofErr w:type="gramStart"/>
      <w:r>
        <w:t>сформулировать  возможные</w:t>
      </w:r>
      <w:proofErr w:type="gramEnd"/>
      <w:r>
        <w:t xml:space="preserve"> пути решения проблемы в виде резолюции;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 xml:space="preserve">Во время проведения ДК участники общаются с председателем собрания и </w:t>
      </w:r>
      <w:proofErr w:type="gramStart"/>
      <w:r>
        <w:t>между  собой</w:t>
      </w:r>
      <w:proofErr w:type="gramEnd"/>
      <w:r>
        <w:t xml:space="preserve">  в рамках Парламентской процедуры (см. Приложение 2).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>Во время обсуждения проблем все предложения участников вносятся в виде пунктов резолюций и оформляются согласно общепринятым нормам (см. Приложение 2).</w:t>
      </w:r>
    </w:p>
    <w:p w:rsidR="00F4112A" w:rsidRDefault="00F4112A" w:rsidP="00F4112A">
      <w:pPr>
        <w:pStyle w:val="a3"/>
        <w:numPr>
          <w:ilvl w:val="0"/>
          <w:numId w:val="1"/>
        </w:numPr>
      </w:pPr>
      <w:r>
        <w:t xml:space="preserve">Финальный документ ДК является </w:t>
      </w:r>
      <w:r w:rsidR="009D20AE">
        <w:t xml:space="preserve">итогом дебатов и выражает мнение молодежи о путях решения </w:t>
      </w:r>
      <w:proofErr w:type="gramStart"/>
      <w:r w:rsidR="009D20AE">
        <w:t>проблемы;  резолюция</w:t>
      </w:r>
      <w:proofErr w:type="gramEnd"/>
      <w:r w:rsidR="009D20AE">
        <w:t xml:space="preserve"> размещается на сайте </w:t>
      </w:r>
      <w:proofErr w:type="spellStart"/>
      <w:r w:rsidR="009D20AE">
        <w:t>ИвГУ</w:t>
      </w:r>
      <w:proofErr w:type="spellEnd"/>
      <w:r w:rsidR="009D20AE">
        <w:t>.</w:t>
      </w:r>
    </w:p>
    <w:p w:rsidR="009D20AE" w:rsidRDefault="009D20AE" w:rsidP="00F4112A">
      <w:pPr>
        <w:pStyle w:val="a3"/>
        <w:numPr>
          <w:ilvl w:val="0"/>
          <w:numId w:val="1"/>
        </w:numPr>
      </w:pPr>
      <w:r>
        <w:t>Участникам выдаются сертификаты участия;</w:t>
      </w:r>
    </w:p>
    <w:p w:rsidR="009D20AE" w:rsidRDefault="009D20AE" w:rsidP="00F4112A">
      <w:pPr>
        <w:pStyle w:val="a3"/>
        <w:numPr>
          <w:ilvl w:val="0"/>
          <w:numId w:val="1"/>
        </w:numPr>
      </w:pPr>
      <w:r>
        <w:t xml:space="preserve">Ответственной за проведение ДК является кафедра английского языка факультета </w:t>
      </w:r>
      <w:proofErr w:type="gramStart"/>
      <w:r>
        <w:t>РГФ  Ивановского</w:t>
      </w:r>
      <w:proofErr w:type="gramEnd"/>
      <w:r>
        <w:t xml:space="preserve"> государственного университета (зав. кафедрой Е.А.  </w:t>
      </w:r>
      <w:proofErr w:type="spellStart"/>
      <w:r>
        <w:t>Вансяцкая</w:t>
      </w:r>
      <w:proofErr w:type="spellEnd"/>
      <w:r>
        <w:t xml:space="preserve">). </w:t>
      </w:r>
    </w:p>
    <w:p w:rsidR="009D20AE" w:rsidRDefault="009D20AE"/>
    <w:p w:rsidR="009D20AE" w:rsidRDefault="009D20AE"/>
    <w:p w:rsidR="009D20AE" w:rsidRDefault="009D20AE">
      <w:r>
        <w:t>Оргкомитет:</w:t>
      </w:r>
    </w:p>
    <w:p w:rsidR="009D20AE" w:rsidRPr="009D20AE" w:rsidRDefault="009D20AE" w:rsidP="009D20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Сырбу</w:t>
      </w:r>
      <w:proofErr w:type="spellEnd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 – проректор по научной работе и международным отношениям</w:t>
      </w:r>
    </w:p>
    <w:p w:rsidR="009D20AE" w:rsidRPr="009D20AE" w:rsidRDefault="009D20AE" w:rsidP="009D20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Вансяцкая</w:t>
      </w:r>
      <w:proofErr w:type="spellEnd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  –заведующая кафедрой английского языка</w:t>
      </w:r>
    </w:p>
    <w:p w:rsidR="009D20AE" w:rsidRPr="009D20AE" w:rsidRDefault="009D20AE" w:rsidP="009D20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Таганова</w:t>
      </w:r>
      <w:proofErr w:type="spellEnd"/>
      <w:r w:rsidRPr="009D2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 – доцент кафедры английского языка</w:t>
      </w:r>
    </w:p>
    <w:p w:rsidR="009D20AE" w:rsidRDefault="009D20AE">
      <w:r>
        <w:br w:type="page"/>
      </w:r>
    </w:p>
    <w:p w:rsidR="009D20AE" w:rsidRDefault="009D20AE"/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5B22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5B22">
        <w:rPr>
          <w:rFonts w:ascii="Times New Roman" w:hAnsi="Times New Roman" w:cs="Times New Roman"/>
          <w:b/>
          <w:sz w:val="28"/>
          <w:szCs w:val="28"/>
        </w:rPr>
        <w:t xml:space="preserve">Повестка дня Дискуссионного клуба «Вызовы </w:t>
      </w:r>
      <w:r w:rsidRPr="00A95B22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A95B22">
        <w:rPr>
          <w:rFonts w:ascii="Times New Roman" w:hAnsi="Times New Roman" w:cs="Times New Roman"/>
          <w:b/>
          <w:sz w:val="28"/>
          <w:szCs w:val="28"/>
        </w:rPr>
        <w:t xml:space="preserve"> века» (далее ДК), который пройдет 27 апреля 2017 года </w:t>
      </w:r>
    </w:p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904" w:rsidRPr="00A95B22" w:rsidRDefault="00696904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904" w:rsidRPr="00A95B22" w:rsidRDefault="00696904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20AE" w:rsidRPr="00A95B22" w:rsidRDefault="00696904" w:rsidP="0069690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5B2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9D20AE" w:rsidRPr="00A95B22">
        <w:rPr>
          <w:rFonts w:ascii="Times New Roman" w:hAnsi="Times New Roman" w:cs="Times New Roman"/>
          <w:b/>
          <w:sz w:val="28"/>
          <w:szCs w:val="28"/>
          <w:lang w:val="en-US"/>
        </w:rPr>
        <w:t>romoting respect to cultures and religions whilst countering terrorism</w:t>
      </w:r>
    </w:p>
    <w:p w:rsidR="009D20AE" w:rsidRPr="00A95B22" w:rsidRDefault="009D20AE" w:rsidP="0069690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904" w:rsidRPr="00A95B22" w:rsidRDefault="00696904" w:rsidP="006969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hanging="43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="009D20AE"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ights and obligations of tourists: designing universal standards</w:t>
      </w:r>
      <w:r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D20AE"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</w:p>
    <w:p w:rsidR="00696904" w:rsidRPr="00A95B22" w:rsidRDefault="00696904" w:rsidP="0069690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D20AE" w:rsidRPr="00A95B22" w:rsidRDefault="00696904" w:rsidP="006969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hanging="43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r w:rsidR="009D20AE" w:rsidRPr="00A95B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echnologies for preserving cultural heritage</w:t>
      </w:r>
    </w:p>
    <w:p w:rsidR="009D20AE" w:rsidRPr="00696904" w:rsidRDefault="004A17B9" w:rsidP="0069690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bookmarkStart w:id="0" w:name="_GoBack"/>
      <w:bookmarkEnd w:id="0"/>
      <w:r w:rsidR="009D20AE" w:rsidRPr="00696904"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:rsidR="009D20AE" w:rsidRDefault="009D20AE" w:rsidP="009D20AE">
      <w:pPr>
        <w:pStyle w:val="a3"/>
      </w:pPr>
      <w:r>
        <w:lastRenderedPageBreak/>
        <w:t>Приложение 2</w:t>
      </w:r>
    </w:p>
    <w:p w:rsidR="009D20AE" w:rsidRDefault="009D20AE" w:rsidP="009D20AE">
      <w:pPr>
        <w:pStyle w:val="a3"/>
      </w:pPr>
    </w:p>
    <w:p w:rsid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bookmarkStart w:id="1" w:name="_Toc166390194"/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Глоссарий: 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Delegate</w:t>
      </w:r>
      <w:r w:rsidRPr="00804EB5"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>участник ДК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Agenda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 – повестка дня, обсуждаемые вопросы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Committee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House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>- собрание, аудитория, к которой обращается говорящий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Chair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 - председатель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Resolution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 – финальный документ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Amendment</w:t>
      </w:r>
      <w:r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  <w:t xml:space="preserve"> - поправка</w:t>
      </w: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</w:p>
    <w:p w:rsidR="00804EB5" w:rsidRPr="00804EB5" w:rsidRDefault="00804EB5" w:rsidP="00804EB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eastAsia="ru-RU"/>
        </w:rPr>
      </w:pPr>
    </w:p>
    <w:p w:rsidR="009D20AE" w:rsidRPr="009D20AE" w:rsidRDefault="009D20AE" w:rsidP="009D20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</w:pPr>
      <w:r w:rsidRPr="009D20AE">
        <w:rPr>
          <w:rFonts w:ascii="Times New Roman" w:eastAsia="Times New Roman" w:hAnsi="Times New Roman" w:cs="Arial"/>
          <w:b/>
          <w:bCs/>
          <w:kern w:val="32"/>
          <w:szCs w:val="32"/>
          <w:lang w:val="en-US" w:eastAsia="ru-RU"/>
        </w:rPr>
        <w:t>General Rules of Participation in the Conferences of the UN Model (MUN)</w:t>
      </w:r>
      <w:bookmarkEnd w:id="1"/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1. All delegates represent not themselves but a certain country. A delegate cannot represent a country of his/her origin. This gives the delegates a unique opportunity to study how to analyze what is going on in the world in terms of politics, social sphere, and economy. </w:t>
      </w:r>
    </w:p>
    <w:p w:rsidR="00804EB5" w:rsidRDefault="00804EB5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2. The agenda is known before but may be changed according to the Procedure.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3. MUN is a formal event thus it has its strict rules and policies. Please mind the dress code.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Duties of a delegate. A delegate must:</w:t>
      </w:r>
    </w:p>
    <w:p w:rsidR="009D20AE" w:rsidRPr="009D20AE" w:rsidRDefault="009D20AE" w:rsidP="009D20AE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Respect the decisions of a Chair</w:t>
      </w:r>
    </w:p>
    <w:p w:rsidR="009D20AE" w:rsidRPr="009D20AE" w:rsidRDefault="009D20AE" w:rsidP="009D20AE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Obtain the floor when speaking</w:t>
      </w:r>
    </w:p>
    <w:p w:rsidR="009D20AE" w:rsidRPr="009D20AE" w:rsidRDefault="009D20AE" w:rsidP="009D20A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Stand when speaking</w:t>
      </w:r>
    </w:p>
    <w:p w:rsidR="009D20AE" w:rsidRPr="009D20AE" w:rsidRDefault="009D20AE" w:rsidP="009D20AE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Abstain from using insulting language</w:t>
      </w:r>
    </w:p>
    <w:p w:rsidR="009D20AE" w:rsidRPr="009D20AE" w:rsidRDefault="009D20AE" w:rsidP="009D20AE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Be polite at all times</w:t>
      </w:r>
    </w:p>
    <w:p w:rsidR="009D20AE" w:rsidRPr="009D20AE" w:rsidRDefault="009D20AE" w:rsidP="009D20AE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4. The document which is discussed during a committee session is a Resolution (see Perambulatory and Operative phrases)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5. RULES OF DEBATE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Delegates must be aware that Rules of Debate are meant to facilitate the debate but not put any restrictions. (see Phrases used by the Chair and by a Delegate)</w:t>
      </w:r>
    </w:p>
    <w:p w:rsidR="009D20AE" w:rsidRPr="009D20AE" w:rsidRDefault="009D20AE" w:rsidP="009D20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lang w:val="en-US" w:eastAsia="ru-RU"/>
        </w:rPr>
        <w:t>Opening ceremony and First Plenary Meeting</w:t>
      </w:r>
    </w:p>
    <w:p w:rsidR="009D20AE" w:rsidRPr="009D20AE" w:rsidRDefault="009D20AE" w:rsidP="009D2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In most conferences one representative of each delegation will be called upon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to deliver an opening speech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. Most often it will be a one-minute speech, which should explain the policy of the country towards the items on the agenda or any other burning problems of the world (mind the difference between a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Policy Statement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and an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Opening Speech</w:t>
      </w:r>
      <w:r w:rsidRPr="009D20AE">
        <w:rPr>
          <w:rFonts w:ascii="Times New Roman" w:eastAsia="Times New Roman" w:hAnsi="Times New Roman" w:cs="Times New Roman"/>
          <w:lang w:val="en-US" w:eastAsia="ru-RU"/>
        </w:rPr>
        <w:t>).</w:t>
      </w:r>
    </w:p>
    <w:p w:rsidR="009D20AE" w:rsidRPr="009D20AE" w:rsidRDefault="009D20AE" w:rsidP="009D2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The delegates will be given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right to reply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to the Policy Statements or the Opening Speeches. </w:t>
      </w:r>
    </w:p>
    <w:p w:rsidR="009D20AE" w:rsidRPr="009D20AE" w:rsidRDefault="009D20AE" w:rsidP="009D2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The final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Agenda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is usually determined during the First Plenary Meeting. </w:t>
      </w:r>
    </w:p>
    <w:p w:rsidR="009D20AE" w:rsidRPr="009D20AE" w:rsidRDefault="009D20AE" w:rsidP="009D20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lang w:val="en-US" w:eastAsia="ru-RU"/>
        </w:rPr>
        <w:t>Debate: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Formal debate requires a formal presentation. No representative may address the committee without obtaining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the floor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(See phrases used by a Delegate and a Chair). If you are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a main submitter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or a co-submitter of a resolution, you are trying to persuade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the House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to vote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in favor of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the resolution or for its part. It’s in your interest to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be open for the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points of information. 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Or the speaker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can yield the floor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to the Chair or to another speaker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The purpose of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making amendments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is to improve a resolution. Amendments are debated separately from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the main motion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, which is a draft resolution. The usual way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to amend is to strike, to insert or to add. 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The Chair sets time for discussion of the amendment. </w:t>
      </w:r>
    </w:p>
    <w:p w:rsidR="009D20AE" w:rsidRPr="009D20AE" w:rsidRDefault="009D20AE" w:rsidP="009D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During the discussion of any matter, a representative may </w:t>
      </w:r>
      <w:r w:rsidRPr="009D20AE">
        <w:rPr>
          <w:rFonts w:ascii="Times New Roman" w:eastAsia="Times New Roman" w:hAnsi="Times New Roman" w:cs="Times New Roman"/>
          <w:i/>
          <w:lang w:val="en-US" w:eastAsia="ru-RU"/>
        </w:rPr>
        <w:t>rise to a point of order,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and the point of order shall be immediately decided</w:t>
      </w:r>
    </w:p>
    <w:p w:rsidR="009D20AE" w:rsidRPr="009D20AE" w:rsidRDefault="009D20AE" w:rsidP="009D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by the Chairman in accordance with the rules.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The Delegates may vote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in favor or against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any amendment and in favor, against a resolution or may </w:t>
      </w:r>
      <w:r w:rsidRPr="009D20AE">
        <w:rPr>
          <w:rFonts w:ascii="Times New Roman" w:eastAsia="Times New Roman" w:hAnsi="Times New Roman" w:cs="Times New Roman"/>
          <w:bCs/>
          <w:i/>
          <w:lang w:val="en-US" w:eastAsia="ru-RU"/>
        </w:rPr>
        <w:t>abstain from the vote</w:t>
      </w:r>
      <w:r w:rsidRPr="009D20AE">
        <w:rPr>
          <w:rFonts w:ascii="Times New Roman" w:eastAsia="Times New Roman" w:hAnsi="Times New Roman" w:cs="Times New Roman"/>
          <w:bCs/>
          <w:lang w:val="en-US" w:eastAsia="ru-RU"/>
        </w:rPr>
        <w:t xml:space="preserve"> on a resolution.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DEFINITION OF TERMS USED IN A RESOLUTION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Preambulatory</w:t>
      </w:r>
      <w:proofErr w:type="spellEnd"/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clauses </w:t>
      </w: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are the justifications for actions. They usually begin with present participles, such as "noting" or "taking into consideration," and denote Charter authorizations for actions, </w:t>
      </w:r>
      <w:proofErr w:type="spellStart"/>
      <w:r w:rsidRPr="009D20AE">
        <w:rPr>
          <w:rFonts w:ascii="Times New Roman" w:eastAsia="Times New Roman" w:hAnsi="Times New Roman" w:cs="Times New Roman"/>
          <w:lang w:val="en-US" w:eastAsia="ru-RU"/>
        </w:rPr>
        <w:t>past</w:t>
      </w:r>
      <w:proofErr w:type="spellEnd"/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resolutions precedent, and statements about the particular purposes for the action,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>Operative clauses</w:t>
      </w:r>
      <w:r w:rsidRPr="009D20AE">
        <w:rPr>
          <w:rFonts w:ascii="Times New Roman" w:eastAsia="Times New Roman" w:hAnsi="Times New Roman" w:cs="Times New Roman"/>
          <w:b/>
          <w:bCs/>
          <w:color w:val="333333"/>
          <w:lang w:val="en-US" w:eastAsia="ru-RU"/>
        </w:rPr>
        <w:t xml:space="preserve"> </w:t>
      </w:r>
      <w:r w:rsidRPr="009D20AE">
        <w:rPr>
          <w:rFonts w:ascii="Times New Roman" w:eastAsia="Times New Roman" w:hAnsi="Times New Roman" w:cs="Times New Roman"/>
          <w:lang w:val="en-US" w:eastAsia="ru-RU"/>
        </w:rPr>
        <w:t>are the policy portion of the resolution. Each operative clause starts with a verb, and, taken as a whole, deals thoroughly and logically with one idea. In no case should a clause be a collection of unrelated thoughts or statements on a broad topic; each clause should deal with only one aspect of the problem.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>Proper Resolution Format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A resolution is basically a single sentence that begins with the organ, topic, and subject matter. The rest of the sentence is made up of </w:t>
      </w:r>
      <w:proofErr w:type="spellStart"/>
      <w:r w:rsidRPr="009D20AE">
        <w:rPr>
          <w:rFonts w:ascii="Times New Roman" w:eastAsia="Times New Roman" w:hAnsi="Times New Roman" w:cs="Times New Roman"/>
          <w:lang w:val="en-US" w:eastAsia="ru-RU"/>
        </w:rPr>
        <w:t>preambulatory</w:t>
      </w:r>
      <w:proofErr w:type="spellEnd"/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and operative clauses. Clarity and preciseness are vital, and special attention should be paid to details such as punctuation, capitalization, grammar, and format.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The proper format for a resolution is as follows: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• Name the organ, the topic, and the submitter.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• Begin all clauses with appropriate initiating phrases (see list).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• End each </w:t>
      </w:r>
      <w:proofErr w:type="spellStart"/>
      <w:r w:rsidRPr="009D20AE">
        <w:rPr>
          <w:rFonts w:ascii="Times New Roman" w:eastAsia="Times New Roman" w:hAnsi="Times New Roman" w:cs="Times New Roman"/>
          <w:lang w:val="en-US" w:eastAsia="ru-RU"/>
        </w:rPr>
        <w:t>preambulatory</w:t>
      </w:r>
      <w:proofErr w:type="spellEnd"/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 clause with a comma and every operative clause with a semicolon,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 xml:space="preserve">• Skip a line after each clause. 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• End the final operative clause with a period.</w:t>
      </w:r>
    </w:p>
    <w:p w:rsidR="009D20AE" w:rsidRPr="009D20AE" w:rsidRDefault="009D20AE" w:rsidP="009D2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>Preambulatory</w:t>
      </w:r>
      <w:proofErr w:type="spellEnd"/>
      <w:r w:rsidRPr="009D20A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Phrases</w:t>
      </w:r>
    </w:p>
    <w:tbl>
      <w:tblPr>
        <w:tblW w:w="68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1565"/>
        <w:gridCol w:w="2109"/>
        <w:gridCol w:w="1460"/>
      </w:tblGrid>
      <w:tr w:rsidR="009D20AE" w:rsidRPr="009D20AE" w:rsidTr="008A662E">
        <w:trPr>
          <w:trHeight w:val="810"/>
          <w:tblCellSpacing w:w="15" w:type="dxa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Acknowledging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Affirming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Alarmed by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Approving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Aware of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Believing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Bearing in mind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Confident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Congratulating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Contemplating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Convinced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Declaring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Deeply concerned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Deeply conscious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Deeply convinced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Deeply disturbed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Deeply regretting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Deploring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Desiring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Emphasizing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Expecting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Expressing its appreciation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Expressing its satisfaction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Fulfilling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Fully alarmed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Fully aware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Fully believing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Further deploring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Further recalling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Guided by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adopted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considered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considered further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devoted attention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examined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heard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received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Having studied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Keeping in mind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further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with appreciation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with approval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with deep concern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with regret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Noting with satisfaction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Observing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Pointing out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Reaffirming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Realizing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Recalling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Recognizing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Referring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Reminding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Seeking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Taking into account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Taking into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consideration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Taking note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Viewing with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appreciation </w:t>
            </w:r>
          </w:p>
          <w:p w:rsidR="009D20AE" w:rsidRPr="009D20AE" w:rsidRDefault="009D20AE" w:rsidP="009D20A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Welcoming </w:t>
            </w:r>
          </w:p>
        </w:tc>
      </w:tr>
    </w:tbl>
    <w:p w:rsidR="009D20AE" w:rsidRPr="009D20AE" w:rsidRDefault="009D20AE" w:rsidP="009D20AE">
      <w:pPr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D20AE" w:rsidRPr="009D20AE" w:rsidRDefault="009D20AE" w:rsidP="009D20AE">
      <w:pPr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lang w:val="en-US" w:eastAsia="ru-RU"/>
        </w:rPr>
        <w:t xml:space="preserve">Opening Phrases </w:t>
      </w:r>
    </w:p>
    <w:tbl>
      <w:tblPr>
        <w:tblW w:w="68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440"/>
        <w:gridCol w:w="1800"/>
        <w:gridCol w:w="2160"/>
      </w:tblGrid>
      <w:tr w:rsidR="009D20AE" w:rsidRPr="00696904" w:rsidTr="00804EB5">
        <w:trPr>
          <w:trHeight w:val="828"/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Accepts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Affirms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Approves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Asks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Authorizes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Calls for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Calls upon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Condemns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Congratulates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Confirms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Declares accordingly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Deplores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Designates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Encourages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Endorses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Expresses its appreciation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Expresses its hope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Further invites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Further proclaims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Further recommends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Further requests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Further resolves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Hopes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Invites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Proclaims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Proposes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Recommends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Regrets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Requests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Resolves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Seeks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Strongly affirms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Strongly condemns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Strongly urges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Suggests </w:t>
            </w:r>
          </w:p>
          <w:p w:rsidR="009D20AE" w:rsidRPr="009D20AE" w:rsidRDefault="009D20AE" w:rsidP="009D20AE">
            <w:pPr>
              <w:tabs>
                <w:tab w:val="left" w:pos="1665"/>
              </w:tabs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Supports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Trusts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Transmits </w:t>
            </w:r>
          </w:p>
          <w:p w:rsidR="009D20AE" w:rsidRPr="009D20AE" w:rsidRDefault="009D20AE" w:rsidP="009D20A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2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Urges </w:t>
            </w:r>
          </w:p>
        </w:tc>
      </w:tr>
    </w:tbl>
    <w:p w:rsidR="009D20AE" w:rsidRPr="009D20AE" w:rsidRDefault="009D20AE" w:rsidP="009D20A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9D20AE">
        <w:rPr>
          <w:rFonts w:ascii="Times New Roman" w:eastAsia="Times New Roman" w:hAnsi="Times New Roman" w:cs="Times New Roman"/>
          <w:b/>
          <w:lang w:val="en-US" w:eastAsia="ru-RU"/>
        </w:rPr>
        <w:t>Phrases Used by a Chair and by delegates during the debate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9D20AE">
        <w:rPr>
          <w:rFonts w:ascii="Times New Roman" w:eastAsia="Times New Roman" w:hAnsi="Times New Roman" w:cs="Times New Roman"/>
          <w:u w:val="single"/>
          <w:lang w:val="en-US" w:eastAsia="ru-RU"/>
        </w:rPr>
        <w:t>Phrases used by the members of the house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proofErr w:type="spellStart"/>
      <w:r w:rsidRPr="009D20AE">
        <w:rPr>
          <w:rFonts w:ascii="Times New Roman" w:eastAsia="Times New Roman" w:hAnsi="Times New Roman" w:cs="Times New Roman"/>
          <w:i/>
          <w:lang w:val="en-US" w:eastAsia="ru-RU"/>
        </w:rPr>
        <w:t>Mr</w:t>
      </w:r>
      <w:proofErr w:type="spellEnd"/>
      <w:r w:rsidRPr="009D20AE">
        <w:rPr>
          <w:rFonts w:ascii="Times New Roman" w:eastAsia="Times New Roman" w:hAnsi="Times New Roman" w:cs="Times New Roman"/>
          <w:i/>
          <w:lang w:val="en-US" w:eastAsia="ru-RU"/>
        </w:rPr>
        <w:t>/Madam Chairman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 request/wish to have the floor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 rise to a point of information/order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 wish to speak in favor of/against this motion/amendment/resolution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Is the Chair/the speaker (not) aware that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Does the speaker (not) agree with me that…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speaker stated in his speech that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 yield the floor to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I urge the house to give me its support by voting for/against this motion/amendment/resolution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ru-RU"/>
        </w:rPr>
      </w:pPr>
      <w:r w:rsidRPr="009D20AE">
        <w:rPr>
          <w:rFonts w:ascii="Times New Roman" w:eastAsia="Times New Roman" w:hAnsi="Times New Roman" w:cs="Times New Roman"/>
          <w:u w:val="single"/>
          <w:lang w:val="en-US" w:eastAsia="ru-RU"/>
        </w:rPr>
        <w:t>Phrases used by the Chairperson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house will come to order/will the house please come to order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chair calls upon … (to read the resolution to the house)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house has heard the resolution. Is there a second?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chair fixes the debate time of 10 minutes for and 10 minutes against the motion.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X has the floor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All points are out of order until the speaker has concluded the speech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Chair recognizes X. To what point do you rise?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Please rise and state your point.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Will you state your point in the form of a question?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Will you rephrase/repeat your question?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Your point is well-taken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Will the speaker come to concluding remarks?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Debate time has expired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Will the speaker yield the floor?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The debate is now closed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We will move into the voting procedure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9D20AE">
        <w:rPr>
          <w:rFonts w:ascii="Times New Roman" w:eastAsia="Times New Roman" w:hAnsi="Times New Roman" w:cs="Times New Roman"/>
          <w:i/>
          <w:lang w:val="en-US" w:eastAsia="ru-RU"/>
        </w:rPr>
        <w:t>All those in favor of/against the resolution/amendment/motion please raise your hands/placards</w:t>
      </w:r>
    </w:p>
    <w:p w:rsidR="009D20AE" w:rsidRPr="009D20AE" w:rsidRDefault="009D20AE" w:rsidP="009D20A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9D20AE" w:rsidRPr="009D20AE" w:rsidRDefault="009D20AE" w:rsidP="009D20AE">
      <w:pPr>
        <w:pStyle w:val="a3"/>
        <w:rPr>
          <w:lang w:val="en-US"/>
        </w:rPr>
      </w:pPr>
      <w:r w:rsidRPr="009D20AE">
        <w:rPr>
          <w:rFonts w:ascii="Times New Roman" w:eastAsia="Times New Roman" w:hAnsi="Times New Roman" w:cs="Times New Roman"/>
          <w:sz w:val="24"/>
          <w:lang w:val="en-US" w:eastAsia="ru-RU"/>
        </w:rPr>
        <w:br w:type="page"/>
      </w:r>
    </w:p>
    <w:sectPr w:rsidR="009D20AE" w:rsidRPr="009D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CCC"/>
    <w:multiLevelType w:val="hybridMultilevel"/>
    <w:tmpl w:val="14149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86F18"/>
    <w:multiLevelType w:val="hybridMultilevel"/>
    <w:tmpl w:val="5D20F3A2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1DE2"/>
    <w:multiLevelType w:val="hybridMultilevel"/>
    <w:tmpl w:val="52E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6E4E"/>
    <w:multiLevelType w:val="hybridMultilevel"/>
    <w:tmpl w:val="3C70E98E"/>
    <w:lvl w:ilvl="0" w:tplc="E7540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F5E6D"/>
    <w:multiLevelType w:val="hybridMultilevel"/>
    <w:tmpl w:val="748A497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2112"/>
    <w:multiLevelType w:val="hybridMultilevel"/>
    <w:tmpl w:val="D30C082C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362E"/>
    <w:multiLevelType w:val="hybridMultilevel"/>
    <w:tmpl w:val="6F360E1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C532B"/>
    <w:multiLevelType w:val="hybridMultilevel"/>
    <w:tmpl w:val="A0660EDC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A"/>
    <w:rsid w:val="001A2AA7"/>
    <w:rsid w:val="004A17B9"/>
    <w:rsid w:val="00696904"/>
    <w:rsid w:val="00804EB5"/>
    <w:rsid w:val="009D20AE"/>
    <w:rsid w:val="00A95B22"/>
    <w:rsid w:val="00D35804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0441"/>
  <w15:chartTrackingRefBased/>
  <w15:docId w15:val="{0407C2B8-60F0-4A83-8058-E9660669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12A"/>
    <w:rPr>
      <w:color w:val="0563C1" w:themeColor="hyperlink"/>
      <w:u w:val="single"/>
    </w:rPr>
  </w:style>
  <w:style w:type="paragraph" w:customStyle="1" w:styleId="Default">
    <w:name w:val="Default"/>
    <w:link w:val="Default0"/>
    <w:rsid w:val="009D2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basedOn w:val="a0"/>
    <w:link w:val="Default"/>
    <w:rsid w:val="009D20A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ag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2017-03-21T06:46:00Z</dcterms:created>
  <dcterms:modified xsi:type="dcterms:W3CDTF">2017-04-04T10:38:00Z</dcterms:modified>
</cp:coreProperties>
</file>